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Treffer-Cluster 2: EP-Erteilungen</w:t>
      </w:r>
    </w:p>
    <w:p>
      <w:pPr>
        <w:jc w:val="left"/>
      </w:pPr>
      <w:r>
        <w:t>AZ: SE-2026-FTO-0717 | Bearb.: Dr. Eppendorfer | Stand: 05.02.2026</w:t>
      </w:r>
    </w:p>
    <w:p/>
    <w:p>
      <w:pPr>
        <w:pStyle w:val="Heading2"/>
      </w:pPr>
      <w:r>
        <w:rPr>
          <w:rFonts w:ascii="Times New Roman" w:hAnsi="Times New Roman"/>
        </w:rPr>
        <w:t>1. Überblick Cluster EP</w:t>
      </w:r>
    </w:p>
    <w:p>
      <w:pPr>
        <w:jc w:val="left"/>
      </w:pPr>
      <w:r>
        <w:t>Aus der Espacenet-Recherche wurden 7 erteilte Europäische Patente als FTO-relevant für die Märkte der EP-Validierungsstaaten (prioritär: DE, NL, DK, SE, NO als Windkraft-Hauptmärkte) identifiziert. Das zentrale Hindernispatent EP 3 218 922 B1 (Vellbruck Energietechnik) wird hier in der Übersicht erfasst und in Aktenstücken 09–12 vertieft analysiert.</w:t>
      </w:r>
    </w:p>
    <w:p>
      <w:pPr>
        <w:pStyle w:val="Heading2"/>
      </w:pPr>
      <w:r>
        <w:rPr>
          <w:rFonts w:ascii="Times New Roman" w:hAnsi="Times New Roman"/>
        </w:rPr>
        <w:t>2. Tabellarische Übersicht EP-Treffer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Dokumentnummer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Anmelder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Prioritätstag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Erteilungstag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IPC/CPC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EP-01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 3 218 922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Vellbruck Energietechnik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22.06.2017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14.03.2023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 3/84, H05B 2203/016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 3 127 458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Vellbruck Energietechnik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04.02.2015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08.09.2020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 3/20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EP-03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 2 920 455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Nordex Energy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26.09.2012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07.02.2018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EP-04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 3 530 943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Siemens Gamesa Renewable Energy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22.03.2018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09.09.2020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EP-05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 3 366 918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General Electric Company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15.11.2015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05.06.2019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 3/84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EP-06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 2 462 344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Vestas Wind Systems A/S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14.12.2009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18.07.2018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EP-07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 3 832 137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Wobben Properties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08.01.2019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22.03.2023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Detailanalyse prioritärer EP-Treffer</w:t>
      </w:r>
    </w:p>
    <w:p>
      <w:pPr>
        <w:pStyle w:val="Heading3"/>
      </w:pPr>
      <w:r>
        <w:rPr>
          <w:rFonts w:ascii="Times New Roman" w:hAnsi="Times New Roman"/>
        </w:rPr>
        <w:t>EP-01 | EP 3 218 922 B1 — Vellbruck Energietechnik GmbH</w:t>
      </w:r>
    </w:p>
    <w:p>
      <w:pPr>
        <w:jc w:val="left"/>
      </w:pPr>
      <w:r>
        <w:t>Titel: „Elektrothermisches Heizsystem für Rotorblätter einer Windkraftanlage mit zonalem Heizmanagement, kapazitiver Eiserkennung und induktiver Energieübertragung"</w:t>
      </w:r>
    </w:p>
    <w:p>
      <w:pPr>
        <w:jc w:val="left"/>
      </w:pPr>
      <w:r>
        <w:t>Prioritätstag: 22.06.2017 (DE 10 2017 210 413). Anmeldetag EP: 25.05.2018. Erteilt: 14.03.2023 nach Einspruchsverfahren (Einspruch 2023 von Nordex zurückgezogen). Anspruchsumfang: 21 Ansprüche — Anspruch 1 unabhängig (Vorrichtung), Anspruch 13 unabhängig (Verfahren), Anspruch 21 unabhängig (Computerprogrammprodukt).</w:t>
      </w:r>
    </w:p>
    <w:p>
      <w:pPr>
        <w:jc w:val="left"/>
      </w:pPr>
      <w:r>
        <w:t>Validierungsstaaten: DE, FR, GB, NL, DK, SE, NO, FI, AT, ES, IT, PL.</w:t>
      </w:r>
    </w:p>
    <w:p>
      <w:pPr>
        <w:jc w:val="left"/>
      </w:pPr>
      <w:r>
        <w:t>Kernanspruch 1 (vereinfacht): Elektrothermisches Heizsystem für Rotorblätter einer Windkraftanlage, umfassend: (a) mindestens 3 elektrische Heizzonen mit unterschiedlichen Leistungsdichten entlang der Rotorblattlängsachse; (b) Heizelemente aus Kohlenstoff-basiertem Widerstandsmaterial, in die Rotorblattstruktur integriert; (c) kapazitive Sensoreinheit zur Eisdickenmessung an der Rotorblattoberfläche; (d) Vorrichtung zur kontaktlosen Energieübertragung von stationärem Gondelteil auf rotierende Nabe; (e) Steuereinheit, die anhand der Sensorwerte zonal differenziert Heizzonen aktiviert.</w:t>
      </w:r>
    </w:p>
    <w:p>
      <w:pPr>
        <w:jc w:val="left"/>
      </w:pPr>
      <w:r>
        <w:t>Ergebnis der Erstprüfung: Alle 5 Merkmale von Anspruch 1 scheinen in IceFree v3 verwirklicht zu sein. → FTO-Risiko ROT. Vertiefte Analyse in Aktenstücken 09–12.</w:t>
      </w:r>
    </w:p>
    <w:p>
      <w:pPr>
        <w:pStyle w:val="Heading3"/>
      </w:pPr>
      <w:r>
        <w:rPr>
          <w:rFonts w:ascii="Times New Roman" w:hAnsi="Times New Roman"/>
        </w:rPr>
        <w:t>EP-02 | EP 3 127 458 B1 — Vellbruck Energietechnik GmbH</w:t>
      </w:r>
    </w:p>
    <w:p>
      <w:pPr>
        <w:jc w:val="left"/>
      </w:pPr>
      <w:r>
        <w:t>Älteres Vellbruck-Patent. Schutzbereich: Schleifring-basierte Energieübertragung mit 2-Zonen-Heizmanagement. IceFree v3 verwendet induktive Übertragung (Differenzierungspunkt) und 4 Zonen. Anspruch 1 setzt Schleifring voraus (Merkmal: „Schleifring mit Kohlenstoffbürsten"). Keine direkte Verletzung.</w:t>
      </w:r>
    </w:p>
    <w:p>
      <w:pPr>
        <w:jc w:val="left"/>
      </w:pPr>
      <w:r>
        <w:t xml:space="preserve">Einschätzung: </w:t>
      </w:r>
      <w:r>
        <w:rPr>
          <w:b/>
        </w:rPr>
        <w:t>GELB</w:t>
      </w:r>
      <w:r>
        <w:t xml:space="preserve"> — mögliche Äquivalenzfrage zur Art der Energieübertragung, aber Schleifring vs. induktiv ist starkes Differenzierungsmerkmal. Keine FTO-Verletzung wahrscheinlich. Interessant als Stand-der-Technik für Nichtigkeitsklage gegen EP 3 218 922 B1.</w:t>
      </w:r>
    </w:p>
    <w:p>
      <w:pPr>
        <w:pStyle w:val="Heading3"/>
      </w:pPr>
      <w:r>
        <w:rPr>
          <w:rFonts w:ascii="Times New Roman" w:hAnsi="Times New Roman"/>
        </w:rPr>
        <w:t>EP-03 | EP 2 920 455 B1 — Nordex Energy GmbH</w:t>
      </w:r>
    </w:p>
    <w:p>
      <w:pPr>
        <w:jc w:val="left"/>
      </w:pPr>
      <w:r>
        <w:t>Schutzbereich: Rotorblattheizung mit Glasfaserheizer (spez. GFK-Matte), 1-Zonen-Steuerung, kein kapazitiver Sensor. Technische Differenz zu IceFree v3: Kohlefaser statt Glas, 4 Zonen statt 1, kapazitiver Sensor. Keine Verletzung erkennbar.</w:t>
      </w:r>
    </w:p>
    <w:p>
      <w:pPr>
        <w:jc w:val="left"/>
      </w:pPr>
      <w:r>
        <w:t xml:space="preserve">Einschätzung: </w:t>
      </w:r>
      <w:r>
        <w:rPr>
          <w:b/>
        </w:rPr>
        <w:t>GELB</w:t>
      </w:r>
      <w:r>
        <w:t xml:space="preserve"> → nach Volltext: </w:t>
      </w:r>
      <w:r>
        <w:rPr>
          <w:b/>
        </w:rPr>
        <w:t>GRÜN</w:t>
      </w:r>
      <w:r>
        <w:t xml:space="preserve"> für FTO. Wichtig als Stand-der-Technik.</w:t>
      </w:r>
    </w:p>
    <w:p>
      <w:pPr>
        <w:pStyle w:val="Heading3"/>
      </w:pPr>
      <w:r>
        <w:rPr>
          <w:rFonts w:ascii="Times New Roman" w:hAnsi="Times New Roman"/>
        </w:rPr>
        <w:t>EP-05 | EP 3 366 918 B1 — General Electric Company</w:t>
      </w:r>
    </w:p>
    <w:p>
      <w:pPr>
        <w:jc w:val="left"/>
      </w:pPr>
      <w:r>
        <w:t>Schutzbereich: Heizzonensystem für Windkraftrotorblätter, aber Kernmerkmal Anspruch 1 ist ein „active de-icing system based on pneumatic impulse" (Druckimpuls-Enteisung). Nicht elektrothermisch. Keine Überschneidung mit IceFree v3.</w:t>
      </w:r>
    </w:p>
    <w:p>
      <w:pPr>
        <w:jc w:val="left"/>
      </w:pPr>
      <w:r>
        <w:t xml:space="preserve">Einschätzung: </w:t>
      </w:r>
      <w:r>
        <w:rPr>
          <w:b/>
        </w:rPr>
        <w:t>GRÜN</w:t>
      </w:r>
      <w:r>
        <w:t xml:space="preserve"> nach Volltext.</w:t>
      </w:r>
    </w:p>
    <w:p>
      <w:pPr>
        <w:pStyle w:val="Heading3"/>
      </w:pPr>
      <w:r>
        <w:rPr>
          <w:rFonts w:ascii="Times New Roman" w:hAnsi="Times New Roman"/>
        </w:rPr>
        <w:t>EP-06 | EP 2 462 344 B1 — Vestas Wind Systems A/S</w:t>
      </w:r>
    </w:p>
    <w:p>
      <w:pPr>
        <w:jc w:val="left"/>
      </w:pPr>
      <w:r>
        <w:t>Schutzbereich: Anti-Icing-System mit Widerstandsheizelementen, aber Schutzanspruch 1 beschränkt auf Metallfolie-Heizer (Nickel-Chrom-Legierung). Kohlefaservlies (IceFree v3) nicht erfasst. Allerdings Anspruch 7 als abhängiger Anspruch: „widerstandsfähiges Material einschließlich Kohlenstoffverbindungen" — dieser Unteranspruch ist nicht eigenständig schutzfähig, gibt aber Hinweis auf Schutzbereichsverständnis.</w:t>
      </w:r>
    </w:p>
    <w:p>
      <w:pPr>
        <w:jc w:val="left"/>
      </w:pPr>
      <w:r>
        <w:t xml:space="preserve">Einschätzung: </w:t>
      </w:r>
      <w:r>
        <w:rPr>
          <w:b/>
        </w:rPr>
        <w:t>GELB</w:t>
      </w:r>
      <w:r>
        <w:t xml:space="preserve"> — Anspruch 1 verletzt wahrscheinlich nicht; Unteransprüche nicht isoliert verletzbar. Äquivalenzprüfung Metallfolie vs. Kohlefaser: differenzierungsfähig.</w:t>
      </w:r>
    </w:p>
    <w:p>
      <w:pPr>
        <w:pStyle w:val="Heading2"/>
      </w:pPr>
      <w:r>
        <w:rPr>
          <w:rFonts w:ascii="Times New Roman" w:hAnsi="Times New Roman"/>
        </w:rPr>
        <w:t>4. Fazit Cluster 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3 218 922 B1 — Kernbedrohung, Volltext-Analyse prioritär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EP-02, EP-05, EP-06 — keine unmittelbare Verletzung erkennbar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EP-03, EP-04, EP-07 — kein FTO-Risiko</w:t>
            </w:r>
          </w:p>
        </w:tc>
      </w:tr>
    </w:tbl>
    <w:p>
      <w:pPr>
        <w:jc w:val="left"/>
      </w:pPr>
      <w:r>
        <w:t>Quellen: Espacenet — EP 3 218 922 B1 | EPO — Art. 69 EPÜ | DPMA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Vellbruck Energietechnik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Vellbruck Energietechnik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