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Lohgerber Voss Rechtsanwaelte PartG mbB</w:t>
        <w:br/>
        <w:t>Schiffgraben 41, 30175 Hannover</w:t>
      </w:r>
    </w:p>
    <w:p>
      <w:pPr>
        <w:pStyle w:val="Heading1"/>
      </w:pPr>
      <w:r>
        <w:t>Duplik des Verteidigers</w:t>
      </w:r>
    </w:p>
    <w:p>
      <w:r>
        <w:t>An Frau Rechtsanwaeltin Dr. Henrike Wittkopp</w:t>
      </w:r>
    </w:p>
    <w:p>
      <w:r>
        <w:t>Die Replik vom 03.07.2026 aendert nichts an der Rechtsauffassung der Verteidigung. Herr Ohlendorf hat sich um eine Fortfuehrung im Interesse der Arbeitsplaetze und Glaeubiger bemueht; von einer masseverzehrenden Verlustfortfuehrung koenne keine Rede sein, da der Betrieb ohne die Zahlungen sofort haette eingestellt werden muessen.</w:t>
      </w:r>
    </w:p>
    <w:p>
      <w:r>
        <w:t>Zum Beraterhonorar wird nunmehr vorgetragen, dass die Ohlendorf Beteiligungs-UG tatsaechlich Marketingleistungen (Social-Media-Kampagnen, Flyer-Konzepte) erbracht habe; entsprechende Unterlagen wuerden nachgereicht.</w:t>
      </w:r>
    </w:p>
    <w:p>
      <w:r>
        <w:t>Eine aussergerichtliche Einigung wird angesichts der Deckungspruefung des D&amp;O-Versicherers derzeit nicht fuer sachgerecht gehalten.</w:t>
      </w:r>
    </w:p>
    <w:p>
      <w:r>
        <w:t>Dr. Cornelius Lohgerber</w:t>
        <w:br/>
        <w:t>Rechtsanwalt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Lohgerber Voss Rechtsanwaelte PartG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2"/>
      </w:rPr>
      <w:t>LOHGERBER VOSS RECHTSANWAELTE PARTG MBB</w:t>
    </w:r>
  </w:p>
  <w:p>
    <w:pPr>
      <w:jc w:val="left"/>
      <w:pBdr>
        <w:bottom w:val="single" w:sz="8" w:space="2" w:color="7B2D3B"/>
      </w:pBdr>
    </w:pPr>
    <w:r>
      <w:rPr>
        <w:rFonts w:ascii="Times New Roman" w:hAnsi="Times New Roman"/>
        <w:color w:val="6B6B66"/>
        <w:sz w:val="16"/>
      </w:rPr>
      <w:t>30175 Hannover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