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Lohgerber Voss Rechtsanwaelte PartG mbB</w:t>
        <w:br/>
        <w:t>Schiffgraben 41, 30175 Hannover</w:t>
      </w:r>
    </w:p>
    <w:p>
      <w:pPr>
        <w:pStyle w:val="Heading1"/>
      </w:pPr>
      <w:r>
        <w:t>Klageerwiderung</w:t>
      </w:r>
    </w:p>
    <w:p>
      <w:r>
        <w:t>An das Landgericht Hannover – Az. 21 O 156/26</w:t>
      </w:r>
    </w:p>
    <w:p>
      <w:r>
        <w:t>Namens des Beklagten wird beantragt, die Klage abzuweisen. Der Beklagte bestreitet den von der Klaegerin angenommenen Zeitpunkt des Eintritts der Zahlungsunfaehigkeit (22.09.2025) und behauptet, eine Sanierung sei bis zur endgueltigen Absage der Bank am 05.01.2026 (Aktenstueck 14) ernsthaft aussichtsreich gewesen.</w:t>
      </w:r>
    </w:p>
    <w:p>
      <w:r>
        <w:t>Zu den Zahlungen an die Ohlendorf Beteiligungs-UG (EUR 48.000,00) wird nunmehr vorgetragen, dass tatsaechlich Marketingleistungen erbracht wurden; entsprechende Nachweise werden angekuendigt, aber nicht vorgelegt.</w:t>
      </w:r>
    </w:p>
    <w:p>
      <w:r>
        <w:t>Dr. Cornelius Lohgerber</w:t>
        <w:br/>
        <w:t>Rechtsanwalt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Lohgerber Voss Rechtsanwaelte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LOHGERBER VOSS RECHTSANWAELTE PARTG MBB</w:t>
    </w:r>
  </w:p>
  <w:p>
    <w:pPr>
      <w:jc w:val="left"/>
      <w:pBdr>
        <w:bottom w:val="single" w:sz="8" w:space="2" w:color="7B2D3B"/>
      </w:pBdr>
    </w:pPr>
    <w:r>
      <w:rPr>
        <w:rFonts w:ascii="Times New Roman" w:hAnsi="Times New Roman"/>
        <w:color w:val="6B6B66"/>
        <w:sz w:val="16"/>
      </w:rPr>
      <w:t>30175 Hannover · Az. 21 O 156/26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