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Gesellschafterstruktur und Konfliktchronologie</w:t>
      </w:r>
    </w:p>
    <w:p>
      <w:pPr>
        <w:jc w:val="left"/>
      </w:pPr>
      <w:r>
        <w:rPr>
          <w:b/>
        </w:rPr>
        <w:t>Akte:</w:t>
      </w:r>
      <w:r>
        <w:t xml:space="preserve"> DWSP/2026/GR-4417</w:t>
      </w:r>
    </w:p>
    <w:p>
      <w:pPr>
        <w:jc w:val="left"/>
      </w:pPr>
      <w:r>
        <w:rPr>
          <w:b/>
        </w:rPr>
        <w:t>Erstellt:</w:t>
      </w:r>
      <w:r>
        <w:t xml:space="preserve"> 17.04.2026</w:t>
      </w:r>
    </w:p>
    <w:p>
      <w:pPr>
        <w:jc w:val="left"/>
      </w:pPr>
      <w:r>
        <w:rPr>
          <w:b/>
        </w:rPr>
        <w:t>Bearbeiter:</w:t>
      </w:r>
      <w:r>
        <w:t xml:space="preserve"> Ass. iur. Miriam Sandtenbruch</w:t>
      </w:r>
    </w:p>
    <w:p/>
    <w:p>
      <w:pPr>
        <w:pStyle w:val="Heading2"/>
      </w:pPr>
      <w:r>
        <w:rPr>
          <w:rFonts w:ascii="Times New Roman" w:hAnsi="Times New Roman"/>
        </w:rPr>
        <w:t>1. Gesellschaftsstruktur Küchenkönig Manufaktur GmbH &amp; Co. KG</w:t>
      </w:r>
    </w:p>
    <w:p>
      <w:pPr>
        <w:pStyle w:val="Heading3"/>
      </w:pPr>
      <w:r>
        <w:rPr>
          <w:rFonts w:ascii="Times New Roman" w:hAnsi="Times New Roman"/>
        </w:rPr>
        <w:t>1.1 Überblick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Gesellschafter</w:t>
            </w:r>
          </w:p>
        </w:tc>
        <w:tc>
          <w:tcPr>
            <w:tcW w:type="dxa" w:w="1814"/>
          </w:tcPr>
          <w:p>
            <w:r>
              <w:rPr>
                <w:rFonts w:ascii="Times New Roman" w:hAnsi="Times New Roman"/>
                <w:b/>
                <w:sz w:val="20"/>
              </w:rPr>
              <w:t>Rechtsform</w:t>
            </w:r>
          </w:p>
        </w:tc>
        <w:tc>
          <w:tcPr>
            <w:tcW w:type="dxa" w:w="1814"/>
          </w:tcPr>
          <w:p>
            <w:r>
              <w:rPr>
                <w:rFonts w:ascii="Times New Roman" w:hAnsi="Times New Roman"/>
                <w:b/>
                <w:sz w:val="20"/>
              </w:rPr>
              <w:t>Anteil Kapital</w:t>
            </w:r>
          </w:p>
        </w:tc>
        <w:tc>
          <w:tcPr>
            <w:tcW w:type="dxa" w:w="1814"/>
          </w:tcPr>
          <w:p>
            <w:r>
              <w:rPr>
                <w:rFonts w:ascii="Times New Roman" w:hAnsi="Times New Roman"/>
                <w:b/>
                <w:sz w:val="20"/>
              </w:rPr>
              <w:t>Stimmrecht GV</w:t>
            </w:r>
          </w:p>
        </w:tc>
        <w:tc>
          <w:tcPr>
            <w:tcW w:type="dxa" w:w="1814"/>
          </w:tcPr>
          <w:p>
            <w:r>
              <w:rPr>
                <w:rFonts w:ascii="Times New Roman" w:hAnsi="Times New Roman"/>
                <w:b/>
                <w:sz w:val="20"/>
              </w:rPr>
              <w:t>Ansprechpartner</w:t>
            </w:r>
          </w:p>
        </w:tc>
      </w:tr>
      <w:tr>
        <w:tc>
          <w:tcPr>
            <w:tcW w:type="dxa" w:w="1814"/>
          </w:tcPr>
          <w:p>
            <w:r>
              <w:rPr>
                <w:rFonts w:ascii="Times New Roman" w:hAnsi="Times New Roman"/>
                <w:sz w:val="20"/>
              </w:rPr>
              <w:t>Küchenkönig Verwaltungs-GmbH</w:t>
            </w:r>
          </w:p>
        </w:tc>
        <w:tc>
          <w:tcPr>
            <w:tcW w:type="dxa" w:w="1814"/>
          </w:tcPr>
          <w:p>
            <w:r>
              <w:rPr>
                <w:rFonts w:ascii="Times New Roman" w:hAnsi="Times New Roman"/>
                <w:sz w:val="20"/>
              </w:rPr>
              <w:t>Komplementär (keine Einlage)</w:t>
            </w:r>
          </w:p>
        </w:tc>
        <w:tc>
          <w:tcPr>
            <w:tcW w:type="dxa" w:w="1814"/>
          </w:tcPr>
          <w:p>
            <w:r>
              <w:rPr>
                <w:rFonts w:ascii="Times New Roman" w:hAnsi="Times New Roman"/>
                <w:sz w:val="20"/>
              </w:rPr>
              <w:t>0 EUR</w:t>
            </w:r>
          </w:p>
        </w:tc>
        <w:tc>
          <w:tcPr>
            <w:tcW w:type="dxa" w:w="1814"/>
          </w:tcPr>
          <w:p>
            <w:r>
              <w:rPr>
                <w:rFonts w:ascii="Times New Roman" w:hAnsi="Times New Roman"/>
                <w:sz w:val="20"/>
              </w:rPr>
              <w:t>26 %</w:t>
            </w:r>
          </w:p>
        </w:tc>
        <w:tc>
          <w:tcPr>
            <w:tcW w:type="dxa" w:w="1814"/>
          </w:tcPr>
          <w:p>
            <w:r>
              <w:rPr>
                <w:rFonts w:ascii="Times New Roman" w:hAnsi="Times New Roman"/>
                <w:sz w:val="20"/>
              </w:rPr>
              <w:t>GF Heinrich-Eberhard Geisen</w:t>
            </w:r>
          </w:p>
        </w:tc>
      </w:tr>
      <w:tr>
        <w:tc>
          <w:tcPr>
            <w:tcW w:type="dxa" w:w="1814"/>
          </w:tcPr>
          <w:p>
            <w:r>
              <w:rPr>
                <w:rFonts w:ascii="Times New Roman" w:hAnsi="Times New Roman"/>
                <w:sz w:val="20"/>
              </w:rPr>
              <w:t>Cornelia Geisen-Wetterhof</w:t>
            </w:r>
          </w:p>
        </w:tc>
        <w:tc>
          <w:tcPr>
            <w:tcW w:type="dxa" w:w="1814"/>
          </w:tcPr>
          <w:p>
            <w:r>
              <w:rPr>
                <w:rFonts w:ascii="Times New Roman" w:hAnsi="Times New Roman"/>
                <w:sz w:val="20"/>
              </w:rPr>
              <w:t>Kommanditistin</w:t>
            </w:r>
          </w:p>
        </w:tc>
        <w:tc>
          <w:tcPr>
            <w:tcW w:type="dxa" w:w="1814"/>
          </w:tcPr>
          <w:p>
            <w:r>
              <w:rPr>
                <w:rFonts w:ascii="Times New Roman" w:hAnsi="Times New Roman"/>
                <w:sz w:val="20"/>
              </w:rPr>
              <w:t>240.000 EUR</w:t>
            </w:r>
          </w:p>
        </w:tc>
        <w:tc>
          <w:tcPr>
            <w:tcW w:type="dxa" w:w="1814"/>
          </w:tcPr>
          <w:p>
            <w:r>
              <w:rPr>
                <w:rFonts w:ascii="Times New Roman" w:hAnsi="Times New Roman"/>
                <w:sz w:val="20"/>
              </w:rPr>
              <w:t>24 %</w:t>
            </w:r>
          </w:p>
        </w:tc>
        <w:tc>
          <w:tcPr>
            <w:tcW w:type="dxa" w:w="1814"/>
          </w:tcPr>
          <w:p>
            <w:r>
              <w:rPr>
                <w:rFonts w:ascii="Times New Roman" w:hAnsi="Times New Roman"/>
                <w:sz w:val="20"/>
              </w:rPr>
              <w:t>—</w:t>
            </w:r>
          </w:p>
        </w:tc>
      </w:tr>
      <w:tr>
        <w:tc>
          <w:tcPr>
            <w:tcW w:type="dxa" w:w="1814"/>
          </w:tcPr>
          <w:p>
            <w:r>
              <w:rPr>
                <w:rFonts w:ascii="Times New Roman" w:hAnsi="Times New Roman"/>
                <w:sz w:val="20"/>
              </w:rPr>
              <w:t>Stefan Geisen</w:t>
            </w:r>
          </w:p>
        </w:tc>
        <w:tc>
          <w:tcPr>
            <w:tcW w:type="dxa" w:w="1814"/>
          </w:tcPr>
          <w:p>
            <w:r>
              <w:rPr>
                <w:rFonts w:ascii="Times New Roman" w:hAnsi="Times New Roman"/>
                <w:sz w:val="20"/>
              </w:rPr>
              <w:t>Kommanditist</w:t>
            </w:r>
          </w:p>
        </w:tc>
        <w:tc>
          <w:tcPr>
            <w:tcW w:type="dxa" w:w="1814"/>
          </w:tcPr>
          <w:p>
            <w:r>
              <w:rPr>
                <w:rFonts w:ascii="Times New Roman" w:hAnsi="Times New Roman"/>
                <w:sz w:val="20"/>
              </w:rPr>
              <w:t>200.000 EUR</w:t>
            </w:r>
          </w:p>
        </w:tc>
        <w:tc>
          <w:tcPr>
            <w:tcW w:type="dxa" w:w="1814"/>
          </w:tcPr>
          <w:p>
            <w:r>
              <w:rPr>
                <w:rFonts w:ascii="Times New Roman" w:hAnsi="Times New Roman"/>
                <w:sz w:val="20"/>
              </w:rPr>
              <w:t>20 %</w:t>
            </w:r>
          </w:p>
        </w:tc>
        <w:tc>
          <w:tcPr>
            <w:tcW w:type="dxa" w:w="1814"/>
          </w:tcPr>
          <w:p>
            <w:r>
              <w:rPr>
                <w:rFonts w:ascii="Times New Roman" w:hAnsi="Times New Roman"/>
                <w:sz w:val="20"/>
              </w:rPr>
              <w:t>—</w:t>
            </w:r>
          </w:p>
        </w:tc>
      </w:tr>
      <w:tr>
        <w:tc>
          <w:tcPr>
            <w:tcW w:type="dxa" w:w="1814"/>
          </w:tcPr>
          <w:p>
            <w:r>
              <w:rPr>
                <w:rFonts w:ascii="Times New Roman" w:hAnsi="Times New Roman"/>
                <w:sz w:val="20"/>
              </w:rPr>
              <w:t>Wittmann Family Holding KG</w:t>
            </w:r>
          </w:p>
        </w:tc>
        <w:tc>
          <w:tcPr>
            <w:tcW w:type="dxa" w:w="1814"/>
          </w:tcPr>
          <w:p>
            <w:r>
              <w:rPr>
                <w:rFonts w:ascii="Times New Roman" w:hAnsi="Times New Roman"/>
                <w:sz w:val="20"/>
              </w:rPr>
              <w:t>Kommanditistin</w:t>
            </w:r>
          </w:p>
        </w:tc>
        <w:tc>
          <w:tcPr>
            <w:tcW w:type="dxa" w:w="1814"/>
          </w:tcPr>
          <w:p>
            <w:r>
              <w:rPr>
                <w:rFonts w:ascii="Times New Roman" w:hAnsi="Times New Roman"/>
                <w:sz w:val="20"/>
              </w:rPr>
              <w:t>300.000 EUR</w:t>
            </w:r>
          </w:p>
        </w:tc>
        <w:tc>
          <w:tcPr>
            <w:tcW w:type="dxa" w:w="1814"/>
          </w:tcPr>
          <w:p>
            <w:r>
              <w:rPr>
                <w:rFonts w:ascii="Times New Roman" w:hAnsi="Times New Roman"/>
                <w:sz w:val="20"/>
              </w:rPr>
              <w:t>30 %</w:t>
            </w:r>
          </w:p>
        </w:tc>
        <w:tc>
          <w:tcPr>
            <w:tcW w:type="dxa" w:w="1814"/>
          </w:tcPr>
          <w:p>
            <w:r>
              <w:rPr>
                <w:rFonts w:ascii="Times New Roman" w:hAnsi="Times New Roman"/>
                <w:sz w:val="20"/>
              </w:rPr>
              <w:t>CFO Dr. Helmut Werthebach</w:t>
            </w:r>
          </w:p>
        </w:tc>
      </w:tr>
      <w:tr>
        <w:tc>
          <w:tcPr>
            <w:tcW w:type="dxa" w:w="1814"/>
          </w:tcPr>
          <w:p>
            <w:r>
              <w:rPr>
                <w:rFonts w:ascii="Times New Roman" w:hAnsi="Times New Roman"/>
                <w:b/>
                <w:sz w:val="20"/>
              </w:rPr>
              <w:t>Gesamt Kommanditkapital</w:t>
            </w:r>
          </w:p>
        </w:tc>
        <w:tc>
          <w:tcPr>
            <w:tcW w:type="dxa" w:w="1814"/>
          </w:tcPr>
          <w:p/>
        </w:tc>
        <w:tc>
          <w:tcPr>
            <w:tcW w:type="dxa" w:w="1814"/>
          </w:tcPr>
          <w:p>
            <w:r>
              <w:rPr>
                <w:rFonts w:ascii="Times New Roman" w:hAnsi="Times New Roman"/>
                <w:b/>
                <w:sz w:val="20"/>
              </w:rPr>
              <w:t>740.000 EUR</w:t>
            </w:r>
          </w:p>
        </w:tc>
        <w:tc>
          <w:tcPr>
            <w:tcW w:type="dxa" w:w="1814"/>
          </w:tcPr>
          <w:p>
            <w:r>
              <w:rPr>
                <w:rFonts w:ascii="Times New Roman" w:hAnsi="Times New Roman"/>
                <w:b/>
                <w:sz w:val="20"/>
              </w:rPr>
              <w:t>100 %</w:t>
            </w:r>
          </w:p>
        </w:tc>
        <w:tc>
          <w:tcPr>
            <w:tcW w:type="dxa" w:w="1814"/>
          </w:tcPr>
          <w:p/>
        </w:tc>
      </w:tr>
    </w:tbl>
    <w:p>
      <w:pPr>
        <w:jc w:val="left"/>
      </w:pPr>
      <w:r>
        <w:rPr>
          <w:b/>
        </w:rPr>
        <w:t>Hinweis:</w:t>
      </w:r>
      <w:r>
        <w:t xml:space="preserve"> Das Stimmrecht richtet sich nach Paragraf 7 des Gesellschaftsvertrages und entspricht den Kapitalanteilen der Kommanditisten zuzüglich einer rechnerischen Kapitalzuweisung für die Komplementär-GmbH in Höhe von 260.000 EUR (somit Gesamtgrundlage 1.000.000 EUR = 100 %).</w:t>
      </w:r>
    </w:p>
    <w:p>
      <w:pPr>
        <w:pStyle w:val="Heading3"/>
      </w:pPr>
      <w:r>
        <w:rPr>
          <w:rFonts w:ascii="Times New Roman" w:hAnsi="Times New Roman"/>
        </w:rPr>
        <w:t>1.2 Komplementär-GmbH (Küchenkönig Verwaltungs-GmbH)</w:t>
      </w:r>
    </w:p>
    <w:p>
      <w:pPr>
        <w:pStyle w:val="ListBullet"/>
      </w:pPr>
      <w:r>
        <w:rPr>
          <w:b/>
        </w:rPr>
        <w:t>HRB:</w:t>
      </w:r>
      <w:r>
        <w:t xml:space="preserve"> 9241 AG Paderborn</w:t>
      </w:r>
    </w:p>
    <w:p>
      <w:pPr>
        <w:pStyle w:val="ListBullet"/>
      </w:pPr>
      <w:r>
        <w:rPr>
          <w:b/>
        </w:rPr>
        <w:t>Stammkapital:</w:t>
      </w:r>
      <w:r>
        <w:t xml:space="preserve"> 25.000 EUR</w:t>
      </w:r>
    </w:p>
    <w:p>
      <w:pPr>
        <w:pStyle w:val="ListBullet"/>
      </w:pPr>
      <w:r>
        <w:rPr>
          <w:b/>
        </w:rPr>
        <w:t>Alleingesellschafter:</w:t>
      </w:r>
      <w:r>
        <w:t xml:space="preserve"> Heinrich-Eberhard Geisen (100 %)</w:t>
      </w:r>
    </w:p>
    <w:p>
      <w:pPr>
        <w:pStyle w:val="ListBullet"/>
      </w:pPr>
      <w:r>
        <w:rPr>
          <w:b/>
        </w:rPr>
        <w:t>Geschäftsführer:</w:t>
      </w:r>
      <w:r>
        <w:t xml:space="preserve"> Heinrich-Eberhard Geisen (alleinvertretungsberechtigt)</w:t>
      </w:r>
    </w:p>
    <w:p>
      <w:pPr>
        <w:pStyle w:val="ListBullet"/>
      </w:pPr>
      <w:r>
        <w:rPr>
          <w:b/>
        </w:rPr>
        <w:t>Haftung:</w:t>
      </w:r>
      <w:r>
        <w:t xml:space="preserve"> Unbeschränkt für Gesellschaftsverbindlichkeiten der KG; Rückgriff gegen KG nach § 110 HGB</w:t>
      </w:r>
    </w:p>
    <w:p>
      <w:pPr>
        <w:pStyle w:val="Heading3"/>
      </w:pPr>
      <w:r>
        <w:rPr>
          <w:rFonts w:ascii="Times New Roman" w:hAnsi="Times New Roman"/>
        </w:rPr>
        <w:t>1.3 Wittmann Family Holding KG</w:t>
      </w:r>
    </w:p>
    <w:p>
      <w:pPr>
        <w:pStyle w:val="ListBullet"/>
      </w:pPr>
      <w:r>
        <w:rPr>
          <w:b/>
        </w:rPr>
        <w:t>HRA:</w:t>
      </w:r>
      <w:r>
        <w:t xml:space="preserve"> 6712 AG Gütersloh</w:t>
      </w:r>
    </w:p>
    <w:p>
      <w:pPr>
        <w:pStyle w:val="ListBullet"/>
      </w:pPr>
      <w:r>
        <w:rPr>
          <w:b/>
        </w:rPr>
        <w:t>Sitz:</w:t>
      </w:r>
      <w:r>
        <w:t xml:space="preserve"> Gütersloh, Industriestr. 12</w:t>
      </w:r>
    </w:p>
    <w:p>
      <w:pPr>
        <w:pStyle w:val="ListBullet"/>
      </w:pPr>
      <w:r>
        <w:rPr>
          <w:b/>
        </w:rPr>
        <w:t>Gesellschaftszweck:</w:t>
      </w:r>
      <w:r>
        <w:t xml:space="preserve"> Vermögensverwaltung, Beteiligungen</w:t>
      </w:r>
    </w:p>
    <w:p>
      <w:pPr>
        <w:pStyle w:val="ListBullet"/>
      </w:pPr>
      <w:r>
        <w:rPr>
          <w:b/>
        </w:rPr>
        <w:t>Komplementär:</w:t>
      </w:r>
      <w:r>
        <w:t xml:space="preserve"> Wittmann Beteiligungs-GmbH</w:t>
      </w:r>
    </w:p>
    <w:p>
      <w:pPr>
        <w:pStyle w:val="ListBullet"/>
      </w:pPr>
      <w:r>
        <w:rPr>
          <w:b/>
        </w:rPr>
        <w:t>Kommanditist:</w:t>
      </w:r>
      <w:r>
        <w:t xml:space="preserve"> Familie Wittmann (mehrere Familienmitglieder)</w:t>
      </w:r>
    </w:p>
    <w:p>
      <w:pPr>
        <w:pStyle w:val="ListBullet"/>
      </w:pPr>
      <w:r>
        <w:rPr>
          <w:b/>
        </w:rPr>
        <w:t>Eintritt:</w:t>
      </w:r>
      <w:r>
        <w:t xml:space="preserve"> 2019 (Anteilskauf von Drittgesellschafter Beckmann)</w:t>
      </w:r>
    </w:p>
    <w:p>
      <w:pPr>
        <w:pStyle w:val="ListBullet"/>
      </w:pPr>
      <w:r>
        <w:rPr>
          <w:b/>
        </w:rPr>
        <w:t>CFO (federführend):</w:t>
      </w:r>
      <w:r>
        <w:t xml:space="preserve"> Dr. Helmut Werthebach (externe Führungskraft)</w:t>
      </w:r>
    </w:p>
    <w:p/>
    <w:p>
      <w:pPr>
        <w:pStyle w:val="Heading2"/>
      </w:pPr>
      <w:r>
        <w:rPr>
          <w:rFonts w:ascii="Times New Roman" w:hAnsi="Times New Roman"/>
        </w:rPr>
        <w:t>2. Stille Gesellschaft Karlheinz Wetterhof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Einlage</w:t>
            </w:r>
          </w:p>
        </w:tc>
        <w:tc>
          <w:tcPr>
            <w:tcW w:type="dxa" w:w="4536"/>
          </w:tcPr>
          <w:p>
            <w:r>
              <w:rPr>
                <w:rFonts w:ascii="Times New Roman" w:hAnsi="Times New Roman"/>
                <w:sz w:val="20"/>
              </w:rPr>
              <w:t>200.000 EUR</w:t>
            </w:r>
          </w:p>
        </w:tc>
      </w:tr>
      <w:tr>
        <w:tc>
          <w:tcPr>
            <w:tcW w:type="dxa" w:w="4536"/>
          </w:tcPr>
          <w:p>
            <w:r>
              <w:rPr>
                <w:rFonts w:ascii="Times New Roman" w:hAnsi="Times New Roman"/>
                <w:sz w:val="20"/>
              </w:rPr>
              <w:t>Einlage geleistet am</w:t>
            </w:r>
          </w:p>
        </w:tc>
        <w:tc>
          <w:tcPr>
            <w:tcW w:type="dxa" w:w="4536"/>
          </w:tcPr>
          <w:p>
            <w:r>
              <w:rPr>
                <w:rFonts w:ascii="Times New Roman" w:hAnsi="Times New Roman"/>
                <w:sz w:val="20"/>
              </w:rPr>
              <w:t>15.06.2019</w:t>
            </w:r>
          </w:p>
        </w:tc>
      </w:tr>
      <w:tr>
        <w:tc>
          <w:tcPr>
            <w:tcW w:type="dxa" w:w="4536"/>
          </w:tcPr>
          <w:p>
            <w:r>
              <w:rPr>
                <w:rFonts w:ascii="Times New Roman" w:hAnsi="Times New Roman"/>
                <w:sz w:val="20"/>
              </w:rPr>
              <w:t>Vertragslaufzeit</w:t>
            </w:r>
          </w:p>
        </w:tc>
        <w:tc>
          <w:tcPr>
            <w:tcW w:type="dxa" w:w="4536"/>
          </w:tcPr>
          <w:p>
            <w:r>
              <w:rPr>
                <w:rFonts w:ascii="Times New Roman" w:hAnsi="Times New Roman"/>
                <w:sz w:val="20"/>
              </w:rPr>
              <w:t>Unbefristet, kündbar mit 6 Monaten Frist zum Jahresende</w:t>
            </w:r>
          </w:p>
        </w:tc>
      </w:tr>
      <w:tr>
        <w:tc>
          <w:tcPr>
            <w:tcW w:type="dxa" w:w="4536"/>
          </w:tcPr>
          <w:p>
            <w:r>
              <w:rPr>
                <w:rFonts w:ascii="Times New Roman" w:hAnsi="Times New Roman"/>
                <w:sz w:val="20"/>
              </w:rPr>
              <w:t>Festverzinsung</w:t>
            </w:r>
          </w:p>
        </w:tc>
        <w:tc>
          <w:tcPr>
            <w:tcW w:type="dxa" w:w="4536"/>
          </w:tcPr>
          <w:p>
            <w:r>
              <w:rPr>
                <w:rFonts w:ascii="Times New Roman" w:hAnsi="Times New Roman"/>
                <w:sz w:val="20"/>
              </w:rPr>
              <w:t>4,5 % p.a. auf Einlage = 9.000 EUR/Jahr</w:t>
            </w:r>
          </w:p>
        </w:tc>
      </w:tr>
      <w:tr>
        <w:tc>
          <w:tcPr>
            <w:tcW w:type="dxa" w:w="4536"/>
          </w:tcPr>
          <w:p>
            <w:r>
              <w:rPr>
                <w:rFonts w:ascii="Times New Roman" w:hAnsi="Times New Roman"/>
                <w:sz w:val="20"/>
              </w:rPr>
              <w:t>Gewinnbeteiligung</w:t>
            </w:r>
          </w:p>
        </w:tc>
        <w:tc>
          <w:tcPr>
            <w:tcW w:type="dxa" w:w="4536"/>
          </w:tcPr>
          <w:p>
            <w:r>
              <w:rPr>
                <w:rFonts w:ascii="Times New Roman" w:hAnsi="Times New Roman"/>
                <w:sz w:val="20"/>
              </w:rPr>
              <w:t>2 % des Jahresüberschusses der KG</w:t>
            </w:r>
          </w:p>
        </w:tc>
      </w:tr>
      <w:tr>
        <w:tc>
          <w:tcPr>
            <w:tcW w:type="dxa" w:w="4536"/>
          </w:tcPr>
          <w:p>
            <w:r>
              <w:rPr>
                <w:rFonts w:ascii="Times New Roman" w:hAnsi="Times New Roman"/>
                <w:sz w:val="20"/>
              </w:rPr>
              <w:t>Verlustbeteiligung</w:t>
            </w:r>
          </w:p>
        </w:tc>
        <w:tc>
          <w:tcPr>
            <w:tcW w:type="dxa" w:w="4536"/>
          </w:tcPr>
          <w:p>
            <w:r>
              <w:rPr>
                <w:rFonts w:ascii="Times New Roman" w:hAnsi="Times New Roman"/>
                <w:sz w:val="20"/>
              </w:rPr>
              <w:t>Ausgeschlossen (typisch stille Gesellschaft)</w:t>
            </w:r>
          </w:p>
        </w:tc>
      </w:tr>
      <w:tr>
        <w:tc>
          <w:tcPr>
            <w:tcW w:type="dxa" w:w="4536"/>
          </w:tcPr>
          <w:p>
            <w:r>
              <w:rPr>
                <w:rFonts w:ascii="Times New Roman" w:hAnsi="Times New Roman"/>
                <w:sz w:val="20"/>
              </w:rPr>
              <w:t>Parteien</w:t>
            </w:r>
          </w:p>
        </w:tc>
        <w:tc>
          <w:tcPr>
            <w:tcW w:type="dxa" w:w="4536"/>
          </w:tcPr>
          <w:p>
            <w:r>
              <w:rPr>
                <w:rFonts w:ascii="Times New Roman" w:hAnsi="Times New Roman"/>
                <w:sz w:val="20"/>
              </w:rPr>
              <w:t>Küchenkönig Manufaktur GmbH &amp; Co. KG (Inhaber) und Karlheinz Wetterhof (stiller Gesellschafter)</w:t>
            </w:r>
          </w:p>
        </w:tc>
      </w:tr>
      <w:tr>
        <w:tc>
          <w:tcPr>
            <w:tcW w:type="dxa" w:w="4536"/>
          </w:tcPr>
          <w:p>
            <w:r>
              <w:rPr>
                <w:rFonts w:ascii="Times New Roman" w:hAnsi="Times New Roman"/>
                <w:sz w:val="20"/>
              </w:rPr>
              <w:t>Streitpunkt</w:t>
            </w:r>
          </w:p>
        </w:tc>
        <w:tc>
          <w:tcPr>
            <w:tcW w:type="dxa" w:w="4536"/>
          </w:tcPr>
          <w:p>
            <w:r>
              <w:rPr>
                <w:rFonts w:ascii="Times New Roman" w:hAnsi="Times New Roman"/>
                <w:sz w:val="20"/>
              </w:rPr>
              <w:t>Karlheinz Wetterhof verlangt außerordentliche Kündigung und Abrechnung; bestreitet aufgelaufene Gegenforderungen der Gesellschaft</w:t>
            </w:r>
          </w:p>
        </w:tc>
      </w:tr>
    </w:tbl>
    <w:p>
      <w:pPr>
        <w:jc w:val="left"/>
      </w:pPr>
      <w:r>
        <w:t>Karlheinz Wetterhof ist der Ehemann von Cornelia Geisen-Wetterhof; die Ehe wurde im November 2025 getrennt. Ob die stille Beteiligung zum ehelichen Zugewinn zählt und wie sie bei der Trennungsauseinandersetzung zu bewerten ist, ist familienrechtlich separat zu klären (Mandat liegt bei Kanzlei Hüttemann, Paderborn, nicht bei DWSP).</w:t>
      </w:r>
    </w:p>
    <w:p/>
    <w:p>
      <w:pPr>
        <w:pStyle w:val="Heading2"/>
      </w:pPr>
      <w:r>
        <w:rPr>
          <w:rFonts w:ascii="Times New Roman" w:hAnsi="Times New Roman"/>
        </w:rPr>
        <w:t>3. Familienstamm Geisen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Geburtsjahr</w:t>
            </w:r>
          </w:p>
        </w:tc>
        <w:tc>
          <w:tcPr>
            <w:tcW w:type="dxa" w:w="2268"/>
          </w:tcPr>
          <w:p>
            <w:r>
              <w:rPr>
                <w:rFonts w:ascii="Times New Roman" w:hAnsi="Times New Roman"/>
                <w:b/>
                <w:sz w:val="20"/>
              </w:rPr>
              <w:t>Funktion</w:t>
            </w:r>
          </w:p>
        </w:tc>
        <w:tc>
          <w:tcPr>
            <w:tcW w:type="dxa" w:w="2268"/>
          </w:tcPr>
          <w:p>
            <w:r>
              <w:rPr>
                <w:rFonts w:ascii="Times New Roman" w:hAnsi="Times New Roman"/>
                <w:b/>
                <w:sz w:val="20"/>
              </w:rPr>
              <w:t>Wohnort</w:t>
            </w:r>
          </w:p>
        </w:tc>
      </w:tr>
      <w:tr>
        <w:tc>
          <w:tcPr>
            <w:tcW w:type="dxa" w:w="2268"/>
          </w:tcPr>
          <w:p>
            <w:r>
              <w:rPr>
                <w:rFonts w:ascii="Times New Roman" w:hAnsi="Times New Roman"/>
                <w:sz w:val="20"/>
              </w:rPr>
              <w:t>Heinrich-Eberhard Geisen</w:t>
            </w:r>
          </w:p>
        </w:tc>
        <w:tc>
          <w:tcPr>
            <w:tcW w:type="dxa" w:w="2268"/>
          </w:tcPr>
          <w:p>
            <w:r>
              <w:rPr>
                <w:rFonts w:ascii="Times New Roman" w:hAnsi="Times New Roman"/>
                <w:sz w:val="20"/>
              </w:rPr>
              <w:t>1967</w:t>
            </w:r>
          </w:p>
        </w:tc>
        <w:tc>
          <w:tcPr>
            <w:tcW w:type="dxa" w:w="2268"/>
          </w:tcPr>
          <w:p>
            <w:r>
              <w:rPr>
                <w:rFonts w:ascii="Times New Roman" w:hAnsi="Times New Roman"/>
                <w:sz w:val="20"/>
              </w:rPr>
              <w:t>GF Komplementär-GmbH, mittelbarer GS 26 %</w:t>
            </w:r>
          </w:p>
        </w:tc>
        <w:tc>
          <w:tcPr>
            <w:tcW w:type="dxa" w:w="2268"/>
          </w:tcPr>
          <w:p>
            <w:r>
              <w:rPr>
                <w:rFonts w:ascii="Times New Roman" w:hAnsi="Times New Roman"/>
                <w:sz w:val="20"/>
              </w:rPr>
              <w:t>Paderborn</w:t>
            </w:r>
          </w:p>
        </w:tc>
      </w:tr>
      <w:tr>
        <w:tc>
          <w:tcPr>
            <w:tcW w:type="dxa" w:w="2268"/>
          </w:tcPr>
          <w:p>
            <w:r>
              <w:rPr>
                <w:rFonts w:ascii="Times New Roman" w:hAnsi="Times New Roman"/>
                <w:sz w:val="20"/>
              </w:rPr>
              <w:t>Cornelia Geisen-Wetterhof</w:t>
            </w:r>
          </w:p>
        </w:tc>
        <w:tc>
          <w:tcPr>
            <w:tcW w:type="dxa" w:w="2268"/>
          </w:tcPr>
          <w:p>
            <w:r>
              <w:rPr>
                <w:rFonts w:ascii="Times New Roman" w:hAnsi="Times New Roman"/>
                <w:sz w:val="20"/>
              </w:rPr>
              <w:t>1970</w:t>
            </w:r>
          </w:p>
        </w:tc>
        <w:tc>
          <w:tcPr>
            <w:tcW w:type="dxa" w:w="2268"/>
          </w:tcPr>
          <w:p>
            <w:r>
              <w:rPr>
                <w:rFonts w:ascii="Times New Roman" w:hAnsi="Times New Roman"/>
                <w:sz w:val="20"/>
              </w:rPr>
              <w:t>Kommanditistin 24 %</w:t>
            </w:r>
          </w:p>
        </w:tc>
        <w:tc>
          <w:tcPr>
            <w:tcW w:type="dxa" w:w="2268"/>
          </w:tcPr>
          <w:p>
            <w:r>
              <w:rPr>
                <w:rFonts w:ascii="Times New Roman" w:hAnsi="Times New Roman"/>
                <w:sz w:val="20"/>
              </w:rPr>
              <w:t>Bad Lippspringe</w:t>
            </w:r>
          </w:p>
        </w:tc>
      </w:tr>
      <w:tr>
        <w:tc>
          <w:tcPr>
            <w:tcW w:type="dxa" w:w="2268"/>
          </w:tcPr>
          <w:p>
            <w:r>
              <w:rPr>
                <w:rFonts w:ascii="Times New Roman" w:hAnsi="Times New Roman"/>
                <w:sz w:val="20"/>
              </w:rPr>
              <w:t>Stefan Geisen</w:t>
            </w:r>
          </w:p>
        </w:tc>
        <w:tc>
          <w:tcPr>
            <w:tcW w:type="dxa" w:w="2268"/>
          </w:tcPr>
          <w:p>
            <w:r>
              <w:rPr>
                <w:rFonts w:ascii="Times New Roman" w:hAnsi="Times New Roman"/>
                <w:sz w:val="20"/>
              </w:rPr>
              <w:t>1975</w:t>
            </w:r>
          </w:p>
        </w:tc>
        <w:tc>
          <w:tcPr>
            <w:tcW w:type="dxa" w:w="2268"/>
          </w:tcPr>
          <w:p>
            <w:r>
              <w:rPr>
                <w:rFonts w:ascii="Times New Roman" w:hAnsi="Times New Roman"/>
                <w:sz w:val="20"/>
              </w:rPr>
              <w:t>Kommanditist 20 %</w:t>
            </w:r>
          </w:p>
        </w:tc>
        <w:tc>
          <w:tcPr>
            <w:tcW w:type="dxa" w:w="2268"/>
          </w:tcPr>
          <w:p>
            <w:r>
              <w:rPr>
                <w:rFonts w:ascii="Times New Roman" w:hAnsi="Times New Roman"/>
                <w:sz w:val="20"/>
              </w:rPr>
              <w:t>Paderborn-Elsen</w:t>
            </w:r>
          </w:p>
        </w:tc>
      </w:tr>
      <w:tr>
        <w:tc>
          <w:tcPr>
            <w:tcW w:type="dxa" w:w="2268"/>
          </w:tcPr>
          <w:p>
            <w:r>
              <w:rPr>
                <w:rFonts w:ascii="Times New Roman" w:hAnsi="Times New Roman"/>
                <w:sz w:val="20"/>
              </w:rPr>
              <w:t>Vater: Gerhard Geisen (†)</w:t>
            </w:r>
          </w:p>
        </w:tc>
        <w:tc>
          <w:tcPr>
            <w:tcW w:type="dxa" w:w="2268"/>
          </w:tcPr>
          <w:p>
            <w:r>
              <w:rPr>
                <w:rFonts w:ascii="Times New Roman" w:hAnsi="Times New Roman"/>
                <w:sz w:val="20"/>
              </w:rPr>
              <w:t>1938–2015</w:t>
            </w:r>
          </w:p>
        </w:tc>
        <w:tc>
          <w:tcPr>
            <w:tcW w:type="dxa" w:w="2268"/>
          </w:tcPr>
          <w:p>
            <w:r>
              <w:rPr>
                <w:rFonts w:ascii="Times New Roman" w:hAnsi="Times New Roman"/>
                <w:sz w:val="20"/>
              </w:rPr>
              <w:t>Gründer</w:t>
            </w:r>
          </w:p>
        </w:tc>
        <w:tc>
          <w:tcPr>
            <w:tcW w:type="dxa" w:w="2268"/>
          </w:tcPr>
          <w:p>
            <w:r>
              <w:rPr>
                <w:rFonts w:ascii="Times New Roman" w:hAnsi="Times New Roman"/>
                <w:sz w:val="20"/>
              </w:rPr>
              <w:t>—</w:t>
            </w:r>
          </w:p>
        </w:tc>
      </w:tr>
      <w:tr>
        <w:tc>
          <w:tcPr>
            <w:tcW w:type="dxa" w:w="2268"/>
          </w:tcPr>
          <w:p>
            <w:r>
              <w:rPr>
                <w:rFonts w:ascii="Times New Roman" w:hAnsi="Times New Roman"/>
                <w:sz w:val="20"/>
              </w:rPr>
              <w:t>Mutter: Hildegard Geisen, geb. Krüger</w:t>
            </w:r>
          </w:p>
        </w:tc>
        <w:tc>
          <w:tcPr>
            <w:tcW w:type="dxa" w:w="2268"/>
          </w:tcPr>
          <w:p>
            <w:r>
              <w:rPr>
                <w:rFonts w:ascii="Times New Roman" w:hAnsi="Times New Roman"/>
                <w:sz w:val="20"/>
              </w:rPr>
              <w:t>1944</w:t>
            </w:r>
          </w:p>
        </w:tc>
        <w:tc>
          <w:tcPr>
            <w:tcW w:type="dxa" w:w="2268"/>
          </w:tcPr>
          <w:p>
            <w:r>
              <w:rPr>
                <w:rFonts w:ascii="Times New Roman" w:hAnsi="Times New Roman"/>
                <w:sz w:val="20"/>
              </w:rPr>
              <w:t>Keine Beteiligung mehr (abgefunden 2016)</w:t>
            </w:r>
          </w:p>
        </w:tc>
        <w:tc>
          <w:tcPr>
            <w:tcW w:type="dxa" w:w="2268"/>
          </w:tcPr>
          <w:p>
            <w:r>
              <w:rPr>
                <w:rFonts w:ascii="Times New Roman" w:hAnsi="Times New Roman"/>
                <w:sz w:val="20"/>
              </w:rPr>
              <w:t>Bad Driburg</w:t>
            </w:r>
          </w:p>
        </w:tc>
      </w:tr>
    </w:tbl>
    <w:p/>
    <w:p>
      <w:pPr>
        <w:pStyle w:val="Heading2"/>
      </w:pPr>
      <w:r>
        <w:rPr>
          <w:rFonts w:ascii="Times New Roman" w:hAnsi="Times New Roman"/>
        </w:rPr>
        <w:t>4. Konfliktchronologie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12.03.2024</w:t>
            </w:r>
          </w:p>
        </w:tc>
        <w:tc>
          <w:tcPr>
            <w:tcW w:type="dxa" w:w="4536"/>
          </w:tcPr>
          <w:p>
            <w:r>
              <w:rPr>
                <w:rFonts w:ascii="Times New Roman" w:hAnsi="Times New Roman"/>
                <w:sz w:val="20"/>
              </w:rPr>
              <w:t>Heinrich-Eberhard Geisen gründet Küchenkönig Polska Sp. z o.o. ohne Gesellschafterbeschluss; Investition 480.000 EUR aus KG-Konto</w:t>
            </w:r>
          </w:p>
        </w:tc>
      </w:tr>
      <w:tr>
        <w:tc>
          <w:tcPr>
            <w:tcW w:type="dxa" w:w="4536"/>
          </w:tcPr>
          <w:p>
            <w:r>
              <w:rPr>
                <w:rFonts w:ascii="Times New Roman" w:hAnsi="Times New Roman"/>
                <w:sz w:val="20"/>
              </w:rPr>
              <w:t>15.06.2024</w:t>
            </w:r>
          </w:p>
        </w:tc>
        <w:tc>
          <w:tcPr>
            <w:tcW w:type="dxa" w:w="4536"/>
          </w:tcPr>
          <w:p>
            <w:r>
              <w:rPr>
                <w:rFonts w:ascii="Times New Roman" w:hAnsi="Times New Roman"/>
                <w:sz w:val="20"/>
              </w:rPr>
              <w:t>Stefan Geisen erfährt von der Polska-Gründung durch einen polnischen Lieferanten</w:t>
            </w:r>
          </w:p>
        </w:tc>
      </w:tr>
      <w:tr>
        <w:tc>
          <w:tcPr>
            <w:tcW w:type="dxa" w:w="4536"/>
          </w:tcPr>
          <w:p>
            <w:r>
              <w:rPr>
                <w:rFonts w:ascii="Times New Roman" w:hAnsi="Times New Roman"/>
                <w:sz w:val="20"/>
              </w:rPr>
              <w:t>08.07.2024</w:t>
            </w:r>
          </w:p>
        </w:tc>
        <w:tc>
          <w:tcPr>
            <w:tcW w:type="dxa" w:w="4536"/>
          </w:tcPr>
          <w:p>
            <w:r>
              <w:rPr>
                <w:rFonts w:ascii="Times New Roman" w:hAnsi="Times New Roman"/>
                <w:sz w:val="20"/>
              </w:rPr>
              <w:t>Stefan Geisen fordert schriftlich Einberufung einer außerordentlichen GV; Heinrich-Eberhard verweigert dies zunächst</w:t>
            </w:r>
          </w:p>
        </w:tc>
      </w:tr>
      <w:tr>
        <w:tc>
          <w:tcPr>
            <w:tcW w:type="dxa" w:w="4536"/>
          </w:tcPr>
          <w:p>
            <w:r>
              <w:rPr>
                <w:rFonts w:ascii="Times New Roman" w:hAnsi="Times New Roman"/>
                <w:sz w:val="20"/>
              </w:rPr>
              <w:t>22.09.2024</w:t>
            </w:r>
          </w:p>
        </w:tc>
        <w:tc>
          <w:tcPr>
            <w:tcW w:type="dxa" w:w="4536"/>
          </w:tcPr>
          <w:p>
            <w:r>
              <w:rPr>
                <w:rFonts w:ascii="Times New Roman" w:hAnsi="Times New Roman"/>
                <w:sz w:val="20"/>
              </w:rPr>
              <w:t>Außerordentliche GV: Geschäftsbericht zur Polska-Investition; Stefan Geisen und Cornelia stimmen gegen nachträgliche Genehmigung; Wittmann enthält sich</w:t>
            </w:r>
          </w:p>
        </w:tc>
      </w:tr>
      <w:tr>
        <w:tc>
          <w:tcPr>
            <w:tcW w:type="dxa" w:w="4536"/>
          </w:tcPr>
          <w:p>
            <w:r>
              <w:rPr>
                <w:rFonts w:ascii="Times New Roman" w:hAnsi="Times New Roman"/>
                <w:sz w:val="20"/>
              </w:rPr>
              <w:t>November 2025</w:t>
            </w:r>
          </w:p>
        </w:tc>
        <w:tc>
          <w:tcPr>
            <w:tcW w:type="dxa" w:w="4536"/>
          </w:tcPr>
          <w:p>
            <w:r>
              <w:rPr>
                <w:rFonts w:ascii="Times New Roman" w:hAnsi="Times New Roman"/>
                <w:sz w:val="20"/>
              </w:rPr>
              <w:t>Trennung Cornelia Geisen-Wetterhof / Karlheinz Wetterhof</w:t>
            </w:r>
          </w:p>
        </w:tc>
      </w:tr>
      <w:tr>
        <w:tc>
          <w:tcPr>
            <w:tcW w:type="dxa" w:w="4536"/>
          </w:tcPr>
          <w:p>
            <w:r>
              <w:rPr>
                <w:rFonts w:ascii="Times New Roman" w:hAnsi="Times New Roman"/>
                <w:sz w:val="20"/>
              </w:rPr>
              <w:t>15.11.2025</w:t>
            </w:r>
          </w:p>
        </w:tc>
        <w:tc>
          <w:tcPr>
            <w:tcW w:type="dxa" w:w="4536"/>
          </w:tcPr>
          <w:p>
            <w:r>
              <w:rPr>
                <w:rFonts w:ascii="Times New Roman" w:hAnsi="Times New Roman"/>
                <w:sz w:val="20"/>
              </w:rPr>
              <w:t>Karlheinz Wetterhof kündigt die stille Gesellschaft außerordentlich und verlangt sofortige Abrechnung</w:t>
            </w:r>
          </w:p>
        </w:tc>
      </w:tr>
      <w:tr>
        <w:tc>
          <w:tcPr>
            <w:tcW w:type="dxa" w:w="4536"/>
          </w:tcPr>
          <w:p>
            <w:r>
              <w:rPr>
                <w:rFonts w:ascii="Times New Roman" w:hAnsi="Times New Roman"/>
                <w:sz w:val="20"/>
              </w:rPr>
              <w:t>12.12.2025</w:t>
            </w:r>
          </w:p>
        </w:tc>
        <w:tc>
          <w:tcPr>
            <w:tcW w:type="dxa" w:w="4536"/>
          </w:tcPr>
          <w:p>
            <w:r>
              <w:rPr>
                <w:rFonts w:ascii="Times New Roman" w:hAnsi="Times New Roman"/>
                <w:sz w:val="20"/>
              </w:rPr>
              <w:t>Kanzlei DWSP wird mit stiller Gesellschaft erstmals befasst (Vorgabe: vertragliche Kündigung bis 31.12.2025 nicht fristgerecht)</w:t>
            </w:r>
          </w:p>
        </w:tc>
      </w:tr>
      <w:tr>
        <w:tc>
          <w:tcPr>
            <w:tcW w:type="dxa" w:w="4536"/>
          </w:tcPr>
          <w:p>
            <w:r>
              <w:rPr>
                <w:rFonts w:ascii="Times New Roman" w:hAnsi="Times New Roman"/>
                <w:sz w:val="20"/>
              </w:rPr>
              <w:t>15.01.2026</w:t>
            </w:r>
          </w:p>
        </w:tc>
        <w:tc>
          <w:tcPr>
            <w:tcW w:type="dxa" w:w="4536"/>
          </w:tcPr>
          <w:p>
            <w:r>
              <w:rPr>
                <w:rFonts w:ascii="Times New Roman" w:hAnsi="Times New Roman"/>
                <w:sz w:val="20"/>
              </w:rPr>
              <w:t>Wittmann Holding teilt schriftlich mit, eine „Neuordnung der Gesellschafterstruktur" anzustreben</w:t>
            </w:r>
          </w:p>
        </w:tc>
      </w:tr>
      <w:tr>
        <w:tc>
          <w:tcPr>
            <w:tcW w:type="dxa" w:w="4536"/>
          </w:tcPr>
          <w:p>
            <w:r>
              <w:rPr>
                <w:rFonts w:ascii="Times New Roman" w:hAnsi="Times New Roman"/>
                <w:sz w:val="20"/>
              </w:rPr>
              <w:t>03.02.2026</w:t>
            </w:r>
          </w:p>
        </w:tc>
        <w:tc>
          <w:tcPr>
            <w:tcW w:type="dxa" w:w="4536"/>
          </w:tcPr>
          <w:p>
            <w:r>
              <w:rPr>
                <w:rFonts w:ascii="Times New Roman" w:hAnsi="Times New Roman"/>
                <w:sz w:val="20"/>
              </w:rPr>
              <w:t>Stefan Geisen teilt der Gesellschaft mit, er plane eine UG-Gründung (HolzART Paderborn UG)</w:t>
            </w:r>
          </w:p>
        </w:tc>
      </w:tr>
      <w:tr>
        <w:tc>
          <w:tcPr>
            <w:tcW w:type="dxa" w:w="4536"/>
          </w:tcPr>
          <w:p>
            <w:r>
              <w:rPr>
                <w:rFonts w:ascii="Times New Roman" w:hAnsi="Times New Roman"/>
                <w:sz w:val="20"/>
              </w:rPr>
              <w:t>05.02.2026</w:t>
            </w:r>
          </w:p>
        </w:tc>
        <w:tc>
          <w:tcPr>
            <w:tcW w:type="dxa" w:w="4536"/>
          </w:tcPr>
          <w:p>
            <w:r>
              <w:rPr>
                <w:rFonts w:ascii="Times New Roman" w:hAnsi="Times New Roman"/>
                <w:sz w:val="20"/>
              </w:rPr>
              <w:t>Heinrich-Eberhard Geisen mahnt Stefan schriftlich auf Unterlassung der UG-Gründung wegen Wettbewerbsverbot</w:t>
            </w:r>
          </w:p>
        </w:tc>
      </w:tr>
      <w:tr>
        <w:tc>
          <w:tcPr>
            <w:tcW w:type="dxa" w:w="4536"/>
          </w:tcPr>
          <w:p>
            <w:r>
              <w:rPr>
                <w:rFonts w:ascii="Times New Roman" w:hAnsi="Times New Roman"/>
                <w:sz w:val="20"/>
              </w:rPr>
              <w:t>28.02.2026</w:t>
            </w:r>
          </w:p>
        </w:tc>
        <w:tc>
          <w:tcPr>
            <w:tcW w:type="dxa" w:w="4536"/>
          </w:tcPr>
          <w:p>
            <w:r>
              <w:rPr>
                <w:rFonts w:ascii="Times New Roman" w:hAnsi="Times New Roman"/>
                <w:sz w:val="20"/>
              </w:rPr>
              <w:t>Anonyme HinSchG-Meldung geht bei der internen Meldestelle ein (Inhalt: Schwarzkasse)</w:t>
            </w:r>
          </w:p>
        </w:tc>
      </w:tr>
      <w:tr>
        <w:tc>
          <w:tcPr>
            <w:tcW w:type="dxa" w:w="4536"/>
          </w:tcPr>
          <w:p>
            <w:r>
              <w:rPr>
                <w:rFonts w:ascii="Times New Roman" w:hAnsi="Times New Roman"/>
                <w:sz w:val="20"/>
              </w:rPr>
              <w:t>07.03.2026</w:t>
            </w:r>
          </w:p>
        </w:tc>
        <w:tc>
          <w:tcPr>
            <w:tcW w:type="dxa" w:w="4536"/>
          </w:tcPr>
          <w:p>
            <w:r>
              <w:rPr>
                <w:rFonts w:ascii="Times New Roman" w:hAnsi="Times New Roman"/>
                <w:sz w:val="20"/>
              </w:rPr>
              <w:t>AG Paderborn lehnt Eintragung des Umstrukturierungsbeschlusses (Investment-AG) ab</w:t>
            </w:r>
          </w:p>
        </w:tc>
      </w:tr>
      <w:tr>
        <w:tc>
          <w:tcPr>
            <w:tcW w:type="dxa" w:w="4536"/>
          </w:tcPr>
          <w:p>
            <w:r>
              <w:rPr>
                <w:rFonts w:ascii="Times New Roman" w:hAnsi="Times New Roman"/>
                <w:sz w:val="20"/>
              </w:rPr>
              <w:t>15.03.2026</w:t>
            </w:r>
          </w:p>
        </w:tc>
        <w:tc>
          <w:tcPr>
            <w:tcW w:type="dxa" w:w="4536"/>
          </w:tcPr>
          <w:p>
            <w:r>
              <w:rPr>
                <w:rFonts w:ascii="Times New Roman" w:hAnsi="Times New Roman"/>
                <w:sz w:val="20"/>
              </w:rPr>
              <w:t>Beschwerde zum OLG Hamm erhoben, AZ: 27 Wx 22/26</w:t>
            </w:r>
          </w:p>
        </w:tc>
      </w:tr>
      <w:tr>
        <w:tc>
          <w:tcPr>
            <w:tcW w:type="dxa" w:w="4536"/>
          </w:tcPr>
          <w:p>
            <w:r>
              <w:rPr>
                <w:rFonts w:ascii="Times New Roman" w:hAnsi="Times New Roman"/>
                <w:sz w:val="20"/>
              </w:rPr>
              <w:t>28.03.2026</w:t>
            </w:r>
          </w:p>
        </w:tc>
        <w:tc>
          <w:tcPr>
            <w:tcW w:type="dxa" w:w="4536"/>
          </w:tcPr>
          <w:p>
            <w:r>
              <w:rPr>
                <w:rFonts w:ascii="Times New Roman" w:hAnsi="Times New Roman"/>
                <w:sz w:val="20"/>
              </w:rPr>
              <w:t>Wittmann Holding lädt zur außerordentlichen GV am 14.04.2026 ein (Squeeze-out als TOP 2)</w:t>
            </w:r>
          </w:p>
        </w:tc>
      </w:tr>
      <w:tr>
        <w:tc>
          <w:tcPr>
            <w:tcW w:type="dxa" w:w="4536"/>
          </w:tcPr>
          <w:p>
            <w:r>
              <w:rPr>
                <w:rFonts w:ascii="Times New Roman" w:hAnsi="Times New Roman"/>
                <w:sz w:val="20"/>
              </w:rPr>
              <w:t>14.04.2026</w:t>
            </w:r>
          </w:p>
        </w:tc>
        <w:tc>
          <w:tcPr>
            <w:tcW w:type="dxa" w:w="4536"/>
          </w:tcPr>
          <w:p>
            <w:r>
              <w:rPr>
                <w:rFonts w:ascii="Times New Roman" w:hAnsi="Times New Roman"/>
                <w:sz w:val="20"/>
              </w:rPr>
              <w:t>Außerordentliche GV: Squeeze-out-Beschluss mit 30 % (Wittmann) gegen 70 % (Geisen-Familie)</w:t>
            </w:r>
          </w:p>
        </w:tc>
      </w:tr>
      <w:tr>
        <w:tc>
          <w:tcPr>
            <w:tcW w:type="dxa" w:w="4536"/>
          </w:tcPr>
          <w:p>
            <w:r>
              <w:rPr>
                <w:rFonts w:ascii="Times New Roman" w:hAnsi="Times New Roman"/>
                <w:sz w:val="20"/>
              </w:rPr>
              <w:t>16.04.2026</w:t>
            </w:r>
          </w:p>
        </w:tc>
        <w:tc>
          <w:tcPr>
            <w:tcW w:type="dxa" w:w="4536"/>
          </w:tcPr>
          <w:p>
            <w:r>
              <w:rPr>
                <w:rFonts w:ascii="Times New Roman" w:hAnsi="Times New Roman"/>
                <w:sz w:val="20"/>
              </w:rPr>
              <w:t>Erstgespräch in Kanzlei DWSP; Mandatserteilung</w:t>
            </w:r>
          </w:p>
        </w:tc>
      </w:tr>
      <w:tr>
        <w:tc>
          <w:tcPr>
            <w:tcW w:type="dxa" w:w="4536"/>
          </w:tcPr>
          <w:p>
            <w:r>
              <w:rPr>
                <w:rFonts w:ascii="Times New Roman" w:hAnsi="Times New Roman"/>
                <w:sz w:val="20"/>
              </w:rPr>
              <w:t>17.04.2026</w:t>
            </w:r>
          </w:p>
        </w:tc>
        <w:tc>
          <w:tcPr>
            <w:tcW w:type="dxa" w:w="4536"/>
          </w:tcPr>
          <w:p>
            <w:r>
              <w:rPr>
                <w:rFonts w:ascii="Times New Roman" w:hAnsi="Times New Roman"/>
                <w:sz w:val="20"/>
              </w:rPr>
              <w:t>Dieses Aktenstück erstellt</w:t>
            </w:r>
          </w:p>
        </w:tc>
      </w:tr>
    </w:tbl>
    <w:p/>
    <w:p>
      <w:pPr>
        <w:pStyle w:val="Heading2"/>
      </w:pPr>
      <w:r>
        <w:rPr>
          <w:rFonts w:ascii="Times New Roman" w:hAnsi="Times New Roman"/>
        </w:rPr>
        <w:t>5. Wirtschaftliche Eckdaten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Kennzahl</w:t>
            </w:r>
          </w:p>
        </w:tc>
        <w:tc>
          <w:tcPr>
            <w:tcW w:type="dxa" w:w="2268"/>
          </w:tcPr>
          <w:p>
            <w:r>
              <w:rPr>
                <w:rFonts w:ascii="Times New Roman" w:hAnsi="Times New Roman"/>
                <w:b/>
                <w:sz w:val="20"/>
              </w:rPr>
              <w:t>2023</w:t>
            </w:r>
          </w:p>
        </w:tc>
        <w:tc>
          <w:tcPr>
            <w:tcW w:type="dxa" w:w="2268"/>
          </w:tcPr>
          <w:p>
            <w:r>
              <w:rPr>
                <w:rFonts w:ascii="Times New Roman" w:hAnsi="Times New Roman"/>
                <w:b/>
                <w:sz w:val="20"/>
              </w:rPr>
              <w:t>2024</w:t>
            </w:r>
          </w:p>
        </w:tc>
        <w:tc>
          <w:tcPr>
            <w:tcW w:type="dxa" w:w="2268"/>
          </w:tcPr>
          <w:p>
            <w:r>
              <w:rPr>
                <w:rFonts w:ascii="Times New Roman" w:hAnsi="Times New Roman"/>
                <w:b/>
                <w:sz w:val="20"/>
              </w:rPr>
              <w:t>2025</w:t>
            </w:r>
          </w:p>
        </w:tc>
      </w:tr>
      <w:tr>
        <w:tc>
          <w:tcPr>
            <w:tcW w:type="dxa" w:w="2268"/>
          </w:tcPr>
          <w:p>
            <w:r>
              <w:rPr>
                <w:rFonts w:ascii="Times New Roman" w:hAnsi="Times New Roman"/>
                <w:sz w:val="20"/>
              </w:rPr>
              <w:t>Umsatz (Mio. EUR)</w:t>
            </w:r>
          </w:p>
        </w:tc>
        <w:tc>
          <w:tcPr>
            <w:tcW w:type="dxa" w:w="2268"/>
          </w:tcPr>
          <w:p>
            <w:r>
              <w:rPr>
                <w:rFonts w:ascii="Times New Roman" w:hAnsi="Times New Roman"/>
                <w:sz w:val="20"/>
              </w:rPr>
              <w:t>20,4</w:t>
            </w:r>
          </w:p>
        </w:tc>
        <w:tc>
          <w:tcPr>
            <w:tcW w:type="dxa" w:w="2268"/>
          </w:tcPr>
          <w:p>
            <w:r>
              <w:rPr>
                <w:rFonts w:ascii="Times New Roman" w:hAnsi="Times New Roman"/>
                <w:sz w:val="20"/>
              </w:rPr>
              <w:t>22,8</w:t>
            </w:r>
          </w:p>
        </w:tc>
        <w:tc>
          <w:tcPr>
            <w:tcW w:type="dxa" w:w="2268"/>
          </w:tcPr>
          <w:p>
            <w:r>
              <w:rPr>
                <w:rFonts w:ascii="Times New Roman" w:hAnsi="Times New Roman"/>
                <w:sz w:val="20"/>
              </w:rPr>
              <w:t>24,5</w:t>
            </w:r>
          </w:p>
        </w:tc>
      </w:tr>
      <w:tr>
        <w:tc>
          <w:tcPr>
            <w:tcW w:type="dxa" w:w="2268"/>
          </w:tcPr>
          <w:p>
            <w:r>
              <w:rPr>
                <w:rFonts w:ascii="Times New Roman" w:hAnsi="Times New Roman"/>
                <w:sz w:val="20"/>
              </w:rPr>
              <w:t>EBITDA (Mio. EUR)</w:t>
            </w:r>
          </w:p>
        </w:tc>
        <w:tc>
          <w:tcPr>
            <w:tcW w:type="dxa" w:w="2268"/>
          </w:tcPr>
          <w:p>
            <w:r>
              <w:rPr>
                <w:rFonts w:ascii="Times New Roman" w:hAnsi="Times New Roman"/>
                <w:sz w:val="20"/>
              </w:rPr>
              <w:t>2,7</w:t>
            </w:r>
          </w:p>
        </w:tc>
        <w:tc>
          <w:tcPr>
            <w:tcW w:type="dxa" w:w="2268"/>
          </w:tcPr>
          <w:p>
            <w:r>
              <w:rPr>
                <w:rFonts w:ascii="Times New Roman" w:hAnsi="Times New Roman"/>
                <w:sz w:val="20"/>
              </w:rPr>
              <w:t>2,9</w:t>
            </w:r>
          </w:p>
        </w:tc>
        <w:tc>
          <w:tcPr>
            <w:tcW w:type="dxa" w:w="2268"/>
          </w:tcPr>
          <w:p>
            <w:r>
              <w:rPr>
                <w:rFonts w:ascii="Times New Roman" w:hAnsi="Times New Roman"/>
                <w:sz w:val="20"/>
              </w:rPr>
              <w:t>3,1</w:t>
            </w:r>
          </w:p>
        </w:tc>
      </w:tr>
      <w:tr>
        <w:tc>
          <w:tcPr>
            <w:tcW w:type="dxa" w:w="2268"/>
          </w:tcPr>
          <w:p>
            <w:r>
              <w:rPr>
                <w:rFonts w:ascii="Times New Roman" w:hAnsi="Times New Roman"/>
                <w:sz w:val="20"/>
              </w:rPr>
              <w:t>EBIT (Mio. EUR)</w:t>
            </w:r>
          </w:p>
        </w:tc>
        <w:tc>
          <w:tcPr>
            <w:tcW w:type="dxa" w:w="2268"/>
          </w:tcPr>
          <w:p>
            <w:r>
              <w:rPr>
                <w:rFonts w:ascii="Times New Roman" w:hAnsi="Times New Roman"/>
                <w:sz w:val="20"/>
              </w:rPr>
              <w:t>2,2</w:t>
            </w:r>
          </w:p>
        </w:tc>
        <w:tc>
          <w:tcPr>
            <w:tcW w:type="dxa" w:w="2268"/>
          </w:tcPr>
          <w:p>
            <w:r>
              <w:rPr>
                <w:rFonts w:ascii="Times New Roman" w:hAnsi="Times New Roman"/>
                <w:sz w:val="20"/>
              </w:rPr>
              <w:t>2,4</w:t>
            </w:r>
          </w:p>
        </w:tc>
        <w:tc>
          <w:tcPr>
            <w:tcW w:type="dxa" w:w="2268"/>
          </w:tcPr>
          <w:p>
            <w:r>
              <w:rPr>
                <w:rFonts w:ascii="Times New Roman" w:hAnsi="Times New Roman"/>
                <w:sz w:val="20"/>
              </w:rPr>
              <w:t>2,6</w:t>
            </w:r>
          </w:p>
        </w:tc>
      </w:tr>
      <w:tr>
        <w:tc>
          <w:tcPr>
            <w:tcW w:type="dxa" w:w="2268"/>
          </w:tcPr>
          <w:p>
            <w:r>
              <w:rPr>
                <w:rFonts w:ascii="Times New Roman" w:hAnsi="Times New Roman"/>
                <w:sz w:val="20"/>
              </w:rPr>
              <w:t>Jahresüberschuss (Mio. EUR)</w:t>
            </w:r>
          </w:p>
        </w:tc>
        <w:tc>
          <w:tcPr>
            <w:tcW w:type="dxa" w:w="2268"/>
          </w:tcPr>
          <w:p>
            <w:r>
              <w:rPr>
                <w:rFonts w:ascii="Times New Roman" w:hAnsi="Times New Roman"/>
                <w:sz w:val="20"/>
              </w:rPr>
              <w:t>1,6</w:t>
            </w:r>
          </w:p>
        </w:tc>
        <w:tc>
          <w:tcPr>
            <w:tcW w:type="dxa" w:w="2268"/>
          </w:tcPr>
          <w:p>
            <w:r>
              <w:rPr>
                <w:rFonts w:ascii="Times New Roman" w:hAnsi="Times New Roman"/>
                <w:sz w:val="20"/>
              </w:rPr>
              <w:t>1,8</w:t>
            </w:r>
          </w:p>
        </w:tc>
        <w:tc>
          <w:tcPr>
            <w:tcW w:type="dxa" w:w="2268"/>
          </w:tcPr>
          <w:p>
            <w:r>
              <w:rPr>
                <w:rFonts w:ascii="Times New Roman" w:hAnsi="Times New Roman"/>
                <w:sz w:val="20"/>
              </w:rPr>
              <w:t>2,1</w:t>
            </w:r>
          </w:p>
        </w:tc>
      </w:tr>
      <w:tr>
        <w:tc>
          <w:tcPr>
            <w:tcW w:type="dxa" w:w="2268"/>
          </w:tcPr>
          <w:p>
            <w:r>
              <w:rPr>
                <w:rFonts w:ascii="Times New Roman" w:hAnsi="Times New Roman"/>
                <w:sz w:val="20"/>
              </w:rPr>
              <w:t>Eigenkapital (Mio. EUR, Buchwert)</w:t>
            </w:r>
          </w:p>
        </w:tc>
        <w:tc>
          <w:tcPr>
            <w:tcW w:type="dxa" w:w="2268"/>
          </w:tcPr>
          <w:p>
            <w:r>
              <w:rPr>
                <w:rFonts w:ascii="Times New Roman" w:hAnsi="Times New Roman"/>
                <w:sz w:val="20"/>
              </w:rPr>
              <w:t>5,8</w:t>
            </w:r>
          </w:p>
        </w:tc>
        <w:tc>
          <w:tcPr>
            <w:tcW w:type="dxa" w:w="2268"/>
          </w:tcPr>
          <w:p>
            <w:r>
              <w:rPr>
                <w:rFonts w:ascii="Times New Roman" w:hAnsi="Times New Roman"/>
                <w:sz w:val="20"/>
              </w:rPr>
              <w:t>6,4</w:t>
            </w:r>
          </w:p>
        </w:tc>
        <w:tc>
          <w:tcPr>
            <w:tcW w:type="dxa" w:w="2268"/>
          </w:tcPr>
          <w:p>
            <w:r>
              <w:rPr>
                <w:rFonts w:ascii="Times New Roman" w:hAnsi="Times New Roman"/>
                <w:sz w:val="20"/>
              </w:rPr>
              <w:t>7,2</w:t>
            </w:r>
          </w:p>
        </w:tc>
      </w:tr>
      <w:tr>
        <w:tc>
          <w:tcPr>
            <w:tcW w:type="dxa" w:w="2268"/>
          </w:tcPr>
          <w:p>
            <w:r>
              <w:rPr>
                <w:rFonts w:ascii="Times New Roman" w:hAnsi="Times New Roman"/>
                <w:sz w:val="20"/>
              </w:rPr>
              <w:t>Mitarbeiter</w:t>
            </w:r>
          </w:p>
        </w:tc>
        <w:tc>
          <w:tcPr>
            <w:tcW w:type="dxa" w:w="2268"/>
          </w:tcPr>
          <w:p>
            <w:r>
              <w:rPr>
                <w:rFonts w:ascii="Times New Roman" w:hAnsi="Times New Roman"/>
                <w:sz w:val="20"/>
              </w:rPr>
              <w:t>88</w:t>
            </w:r>
          </w:p>
        </w:tc>
        <w:tc>
          <w:tcPr>
            <w:tcW w:type="dxa" w:w="2268"/>
          </w:tcPr>
          <w:p>
            <w:r>
              <w:rPr>
                <w:rFonts w:ascii="Times New Roman" w:hAnsi="Times New Roman"/>
                <w:sz w:val="20"/>
              </w:rPr>
              <w:t>92</w:t>
            </w:r>
          </w:p>
        </w:tc>
        <w:tc>
          <w:tcPr>
            <w:tcW w:type="dxa" w:w="2268"/>
          </w:tcPr>
          <w:p>
            <w:r>
              <w:rPr>
                <w:rFonts w:ascii="Times New Roman" w:hAnsi="Times New Roman"/>
                <w:sz w:val="20"/>
              </w:rPr>
              <w:t>95</w:t>
            </w:r>
          </w:p>
        </w:tc>
      </w:tr>
      <w:tr>
        <w:tc>
          <w:tcPr>
            <w:tcW w:type="dxa" w:w="2268"/>
          </w:tcPr>
          <w:p>
            <w:r>
              <w:rPr>
                <w:rFonts w:ascii="Times New Roman" w:hAnsi="Times New Roman"/>
                <w:sz w:val="20"/>
              </w:rPr>
              <w:t>Polska-Investition (kumuliert)</w:t>
            </w:r>
          </w:p>
        </w:tc>
        <w:tc>
          <w:tcPr>
            <w:tcW w:type="dxa" w:w="2268"/>
          </w:tcPr>
          <w:p>
            <w:r>
              <w:rPr>
                <w:rFonts w:ascii="Times New Roman" w:hAnsi="Times New Roman"/>
                <w:sz w:val="20"/>
              </w:rPr>
              <w:t>—</w:t>
            </w:r>
          </w:p>
        </w:tc>
        <w:tc>
          <w:tcPr>
            <w:tcW w:type="dxa" w:w="2268"/>
          </w:tcPr>
          <w:p>
            <w:r>
              <w:rPr>
                <w:rFonts w:ascii="Times New Roman" w:hAnsi="Times New Roman"/>
                <w:sz w:val="20"/>
              </w:rPr>
              <w:t>480.000 EUR</w:t>
            </w:r>
          </w:p>
        </w:tc>
        <w:tc>
          <w:tcPr>
            <w:tcW w:type="dxa" w:w="2268"/>
          </w:tcPr>
          <w:p>
            <w:r>
              <w:rPr>
                <w:rFonts w:ascii="Times New Roman" w:hAnsi="Times New Roman"/>
                <w:sz w:val="20"/>
              </w:rPr>
              <w:t>voll abzuschreiben</w:t>
            </w:r>
          </w:p>
        </w:tc>
      </w:tr>
    </w:tbl>
    <w:p/>
    <w:p>
      <w:pPr>
        <w:jc w:val="left"/>
      </w:pPr>
      <w:r>
        <w:rPr>
          <w:i/>
        </w:rPr>
        <w:t>Stand: 17.04.2026 — Kanzlei DWSP, Bielefeld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Gesellschaftsstruktur Küchenkönig Manufaktur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Gesellschaftsstruktur Küchenkönig Manufaktur GmbH &amp; Co. KG</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