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Ertragswertgutachten Küchenkönig Manufaktur GmbH &amp; Co. KG nach IDW S 1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Gutachter:</w:t>
      </w:r>
      <w:r>
        <w:t xml:space="preserve"> WP/StB Dr. Norbert Heidekämper, WP-Büro Heidekämper &amp; Söhne, Domplatz 14, 33098 Paderborn</w:t>
      </w:r>
    </w:p>
    <w:p>
      <w:pPr>
        <w:jc w:val="left"/>
      </w:pPr>
      <w:r>
        <w:rPr>
          <w:b/>
        </w:rPr>
        <w:t>Auftraggeber:</w:t>
      </w:r>
      <w:r>
        <w:t xml:space="preserve"> Geisen-Familie, vertreten durch Kanzlei DWSP</w:t>
      </w:r>
    </w:p>
    <w:p>
      <w:pPr>
        <w:jc w:val="left"/>
      </w:pPr>
      <w:r>
        <w:rPr>
          <w:b/>
        </w:rPr>
        <w:t>Bewertungsstichtag:</w:t>
      </w:r>
      <w:r>
        <w:t xml:space="preserve"> 14. April 2026 (Tag der Gesellschafterversammlung)</w:t>
      </w:r>
    </w:p>
    <w:p>
      <w:pPr>
        <w:jc w:val="left"/>
      </w:pPr>
      <w:r>
        <w:rPr>
          <w:b/>
        </w:rPr>
        <w:t>Gutachten-Nr.:</w:t>
      </w:r>
      <w:r>
        <w:t xml:space="preserve"> HuS/2026/0088</w:t>
      </w:r>
    </w:p>
    <w:p>
      <w:pPr>
        <w:jc w:val="left"/>
      </w:pPr>
      <w:r>
        <w:rPr>
          <w:b/>
        </w:rPr>
        <w:t>Erstellt:</w:t>
      </w:r>
      <w:r>
        <w:t xml:space="preserve"> 22. April 2026</w:t>
      </w:r>
    </w:p>
    <w:p/>
    <w:p>
      <w:pPr>
        <w:pStyle w:val="Heading2"/>
      </w:pPr>
      <w:r>
        <w:rPr>
          <w:rFonts w:ascii="Times New Roman" w:hAnsi="Times New Roman"/>
        </w:rPr>
        <w:t>I. Auftrag und Bewertungsanlass</w:t>
      </w:r>
    </w:p>
    <w:p>
      <w:pPr>
        <w:jc w:val="left"/>
      </w:pPr>
      <w:r>
        <w:t>Die Geisen-Familie (Heinrich-Eberhard Geisen, Cornelia Geisen-Wetterhof, Stefan Geisen) hat das WP-Büro Heidekämper &amp; Söhne beauftragt, den Ertragswert der Küchenkönig Manufaktur GmbH &amp; Co. KG zum Bewertungsstichtag 14.04.2026 nach dem Ertragswertverfahren gemäß IDW S 1 (i.d.F. 2008, zuletzt aktualisiert 2024) zu ermitteln. Bewertungsanlass ist der von der Wittmann Family Holding KG herbeigeführte Squeeze-out-Beschluss und die damit verbundene Abfindungsfrage.</w:t>
      </w:r>
    </w:p>
    <w:p/>
    <w:p>
      <w:pPr>
        <w:pStyle w:val="Heading2"/>
      </w:pPr>
      <w:r>
        <w:rPr>
          <w:rFonts w:ascii="Times New Roman" w:hAnsi="Times New Roman"/>
        </w:rPr>
        <w:t>II. Unternehmenscharakterisierung</w:t>
      </w:r>
    </w:p>
    <w:p>
      <w:pPr>
        <w:jc w:val="left"/>
      </w:pPr>
      <w:r>
        <w:rPr>
          <w:b/>
        </w:rPr>
        <w:t>Unternehmen:</w:t>
      </w:r>
      <w:r>
        <w:t xml:space="preserve"> Küchenkönig Manufaktur GmbH &amp; Co. KG</w:t>
      </w:r>
    </w:p>
    <w:p>
      <w:pPr>
        <w:jc w:val="left"/>
      </w:pPr>
      <w:r>
        <w:rPr>
          <w:b/>
        </w:rPr>
        <w:t>Sitz:</w:t>
      </w:r>
      <w:r>
        <w:t xml:space="preserve"> Sennelager Str. 88, 33104 Paderborn</w:t>
      </w:r>
    </w:p>
    <w:p>
      <w:pPr>
        <w:jc w:val="left"/>
      </w:pPr>
      <w:r>
        <w:rPr>
          <w:b/>
        </w:rPr>
        <w:t>Branche:</w:t>
      </w:r>
      <w:r>
        <w:t xml:space="preserve"> Herstellung und Vertrieb von Massivholzküchen, Premiumsegment</w:t>
      </w:r>
    </w:p>
    <w:p>
      <w:pPr>
        <w:jc w:val="left"/>
      </w:pPr>
      <w:r>
        <w:rPr>
          <w:b/>
        </w:rPr>
        <w:t>Betriebsstätte:</w:t>
      </w:r>
      <w:r>
        <w:t xml:space="preserve"> Manufaktur Paderborn-Sennelager (Eigentum), 4.200 qm Produktionsfläche</w:t>
      </w:r>
    </w:p>
    <w:p>
      <w:pPr>
        <w:jc w:val="left"/>
      </w:pPr>
      <w:r>
        <w:rPr>
          <w:b/>
        </w:rPr>
        <w:t>Mitarbeiter:</w:t>
      </w:r>
      <w:r>
        <w:t xml:space="preserve"> 95 (davon 28 Schreiner, 14 Monteure, 12 Vertrieb/Beratung, 41 Verwaltung/Sonstige)</w:t>
      </w:r>
    </w:p>
    <w:p>
      <w:pPr>
        <w:jc w:val="left"/>
      </w:pPr>
      <w:r>
        <w:rPr>
          <w:b/>
        </w:rPr>
        <w:t>Marktposition:</w:t>
      </w:r>
      <w:r>
        <w:t xml:space="preserve"> Regionale Marktführerin im Premiumsegment Massivholz in OWL; Warteliste 14 Monate; NPS (Net Promoter Score) 72</w:t>
      </w:r>
    </w:p>
    <w:p/>
    <w:p>
      <w:pPr>
        <w:pStyle w:val="Heading2"/>
      </w:pPr>
      <w:r>
        <w:rPr>
          <w:rFonts w:ascii="Times New Roman" w:hAnsi="Times New Roman"/>
        </w:rPr>
        <w:t>III. Vergangenheitsanalyse (Ertragslage 2021–2025)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Umsatz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EBITDA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EBIT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JÜ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JÜ bereinigt (TEUR)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1.720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1.600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</w:tr>
    </w:tbl>
    <w:p>
      <w:pPr>
        <w:jc w:val="left"/>
      </w:pPr>
      <w:r>
        <w:rPr>
          <w:i/>
        </w:rPr>
        <w:t>Bereinigung 2024: Polska-Anlaufverluste (140 TEUR) rausgerechnet, da außerordentlicher und einmaliger Charakter.</w:t>
      </w:r>
    </w:p>
    <w:p>
      <w:pPr>
        <w:jc w:val="left"/>
      </w:pPr>
      <w:r>
        <w:rPr>
          <w:b/>
        </w:rPr>
        <w:t>Trendanalyse:</w:t>
      </w:r>
      <w:r>
        <w:t xml:space="preserve"> Umsatzwachstum 2021–2025 CAGR: 9,2 %; EBIT-Marge konstant um 10,5–11,0 %; Jahresüberschuss-Marge 2025: 8,6 %. Der starke Wachstumstrend spiegelt die steigende Nachfrage nach hochwertigen individuellen Küchenlösungen wider.</w:t>
      </w:r>
    </w:p>
    <w:p/>
    <w:p>
      <w:pPr>
        <w:pStyle w:val="Heading2"/>
      </w:pPr>
      <w:r>
        <w:rPr>
          <w:rFonts w:ascii="Times New Roman" w:hAnsi="Times New Roman"/>
        </w:rPr>
        <w:t>IV. Planungsrechnung 2026–2030 (Detailplanungsphase)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Umsatz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EBIT-Marge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EBIT (TEUR)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EStG-Belastung (15 %)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JÜ nach Steuer (TEUR)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9,5 %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362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2.051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26.700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10,0 %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2.670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2.269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10,5 %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2.919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2.481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10,8 %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3.110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467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2.644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29.700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3.267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2.777</w:t>
            </w:r>
          </w:p>
        </w:tc>
      </w:tr>
    </w:tbl>
    <w:p>
      <w:pPr>
        <w:jc w:val="left"/>
      </w:pPr>
      <w:r>
        <w:rPr>
          <w:i/>
        </w:rPr>
        <w:t>Ertragssteuerbelastung: typisierter Steuersatz 15 % für Anteile in Privatvermögen (IDW S 1 Rz. 43 ff.); GewSt-Effekt bereits in EBIT berücksichtigt.</w:t>
      </w:r>
    </w:p>
    <w:p>
      <w:pPr>
        <w:jc w:val="left"/>
      </w:pPr>
      <w:r>
        <w:rPr>
          <w:b/>
        </w:rPr>
        <w:t>Nachhaltige Ertragskraft (Terminal Value-Basis):</w:t>
      </w:r>
      <w:r>
        <w:t xml:space="preserve"> 2,050 Mio. EUR p.a. (konservativ auf 2026er Niveau, Sicherheitsabschlag wegen Polska-Unsicherheit 2026)</w:t>
      </w:r>
    </w:p>
    <w:p/>
    <w:p>
      <w:pPr>
        <w:pStyle w:val="Heading2"/>
      </w:pPr>
      <w:r>
        <w:rPr>
          <w:rFonts w:ascii="Times New Roman" w:hAnsi="Times New Roman"/>
        </w:rPr>
        <w:t>V. Kapitalisierungszins (CAPM)</w:t>
      </w:r>
    </w:p>
    <w:p>
      <w:pPr>
        <w:pStyle w:val="Heading3"/>
      </w:pPr>
      <w:r>
        <w:rPr>
          <w:rFonts w:ascii="Times New Roman" w:hAnsi="Times New Roman"/>
        </w:rPr>
        <w:t>Basiszinssatz</w:t>
      </w:r>
    </w:p>
    <w:p>
      <w:pPr>
        <w:jc w:val="left"/>
      </w:pPr>
      <w:r>
        <w:t>Laufende Umlaufrendite langlaufender Bundesanleihen (Bundesbank, Stichtagsdaten April 2026): 2,45 %. Gerundet auf 2,5 % (IDW S 1 Rz. 113).</w:t>
      </w:r>
    </w:p>
    <w:p>
      <w:pPr>
        <w:pStyle w:val="Heading3"/>
      </w:pPr>
      <w:r>
        <w:rPr>
          <w:rFonts w:ascii="Times New Roman" w:hAnsi="Times New Roman"/>
        </w:rPr>
        <w:t>Marktrisikoprämie</w:t>
      </w:r>
    </w:p>
    <w:p>
      <w:pPr>
        <w:jc w:val="left"/>
      </w:pPr>
      <w:r>
        <w:t>Empfehlung IDW-Fachausschuss für Unternehmensbewertung (FAUB): 7,0 % (aktuell bestätigte Bandbreite 6,5–8,0 %; Mitte der Bandbreite angesetzt).</w:t>
      </w:r>
    </w:p>
    <w:p>
      <w:pPr>
        <w:pStyle w:val="Heading3"/>
      </w:pPr>
      <w:r>
        <w:rPr>
          <w:rFonts w:ascii="Times New Roman" w:hAnsi="Times New Roman"/>
        </w:rPr>
        <w:t>Betafaktor</w:t>
      </w:r>
    </w:p>
    <w:p>
      <w:pPr>
        <w:jc w:val="left"/>
      </w:pPr>
      <w:r>
        <w:t>Peer-Group-Vergleich mit börsennotierten Premium-Möbelherstellern: Nolte Küchen (nicht börsennotiert), SieMatic (nicht börsennotiert), Leicht Küchen AG (nicht börsennotiert). Heranziehung von European Furniture Companies Index (EFCI) Beta unverschuldet: Ø 0,87. Für die Küchenkönig spezifische Risikozuschläge (Abhängigkeit von Holzrohstoffen, regionale Konzentration): +0,03. Verwendeter Beta (unverschuldet): 0,90.</w:t>
      </w:r>
    </w:p>
    <w:p>
      <w:pPr>
        <w:pStyle w:val="Heading3"/>
      </w:pPr>
      <w:r>
        <w:rPr>
          <w:rFonts w:ascii="Times New Roman" w:hAnsi="Times New Roman"/>
        </w:rPr>
        <w:t>Verschuldungsgrad</w:t>
      </w:r>
    </w:p>
    <w:p>
      <w:pPr>
        <w:jc w:val="left"/>
      </w:pPr>
      <w:r>
        <w:t>Nettoverschuldung 800 TEUR / Eigenkapital Buchwert 3.400 TEUR = 23,5 %. Re-Leveraging: Beta (verschuldet) = 0,90 × (1 + 0,235 × (1 − 0,15)) = 0,90 × 1,20 ≈ 1,08.</w:t>
      </w:r>
    </w:p>
    <w:p>
      <w:pPr>
        <w:pStyle w:val="Heading3"/>
      </w:pPr>
      <w:r>
        <w:rPr>
          <w:rFonts w:ascii="Times New Roman" w:hAnsi="Times New Roman"/>
        </w:rPr>
        <w:t>Kapitalisierungszinssatz</w:t>
      </w:r>
    </w:p>
    <w:p>
      <w:pPr>
        <w:pStyle w:val="ListBullet"/>
      </w:pPr>
      <w:r>
        <w:t>CAPM: rf + Beta(v) × MRP = 2,5 % + 1,08 × 7,0 % = 10,06 %</w:t>
      </w:r>
    </w:p>
    <w:p>
      <w:pPr>
        <w:pStyle w:val="ListBullet"/>
      </w:pPr>
      <w:r>
        <w:t>Abzüglich persönliche Ertragssteuer auf Ausschüttungen (IDW S 1 Rz. 116): −0,35 × (rf − Inflationsausgleich) = −0,35 × (2,5 % − 1,5 %) = −0,35 %</w:t>
      </w:r>
    </w:p>
    <w:p>
      <w:pPr>
        <w:pStyle w:val="ListBullet"/>
      </w:pPr>
      <w:r>
        <w:rPr>
          <w:b/>
        </w:rPr>
        <w:t>Kapitalisierungszinssatz nach Steuer: 9,71 %</w:t>
      </w:r>
      <w:r>
        <w:t xml:space="preserve">, gerundet </w:t>
      </w:r>
      <w:r>
        <w:rPr>
          <w:b/>
        </w:rPr>
        <w:t>9,7 %</w:t>
      </w:r>
    </w:p>
    <w:p>
      <w:pPr>
        <w:pStyle w:val="ListBullet"/>
      </w:pPr>
      <w:r>
        <w:rPr>
          <w:b/>
        </w:rPr>
        <w:t>Wachstumsabschlag g:</w:t>
      </w:r>
      <w:r>
        <w:t xml:space="preserve"> 1,5 % (langfristiger Nominalwachstum; konservativ angesetzt)</w:t>
      </w:r>
    </w:p>
    <w:p>
      <w:pPr>
        <w:pStyle w:val="ListBullet"/>
      </w:pPr>
      <w:r>
        <w:rPr>
          <w:b/>
        </w:rPr>
        <w:t>Effektiver Diskontierungszins (WACC − g): 9,7 % − 1,5 % = 8,2 %</w:t>
      </w:r>
    </w:p>
    <w:p/>
    <w:p>
      <w:pPr>
        <w:pStyle w:val="Heading2"/>
      </w:pPr>
      <w:r>
        <w:rPr>
          <w:rFonts w:ascii="Times New Roman" w:hAnsi="Times New Roman"/>
        </w:rPr>
        <w:t>VI. Ertragswertermittlung</w:t>
      </w:r>
    </w:p>
    <w:p>
      <w:pPr>
        <w:pStyle w:val="Heading3"/>
      </w:pPr>
      <w:r>
        <w:rPr>
          <w:rFonts w:ascii="Times New Roman" w:hAnsi="Times New Roman"/>
        </w:rPr>
        <w:t>Detailplanungsphase (2026–2030)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JÜ nach Steuer (TEUR)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Diskontfaktor (1/1,097)^n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Barwert (TEUR)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2.051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0,9116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2.269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0,8310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1.886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2.481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0,7577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1.880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2.644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0,6908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2.777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0,6297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1.749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Barwert Detailphase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9.210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Terminal Value (Ewige Rente ab 2031)</w:t>
      </w:r>
    </w:p>
    <w:p>
      <w:pPr>
        <w:jc w:val="left"/>
      </w:pPr>
      <w:r>
        <w:t>TV = JÜ(2031) / (WACC − g) = 2.050 TEUR / 0,082 = 25.000 TEUR</w:t>
      </w:r>
    </w:p>
    <w:p>
      <w:pPr>
        <w:jc w:val="left"/>
      </w:pPr>
      <w:r>
        <w:t>Barwert TV (diskontiert auf Stichtag 2026): 25.000 TEUR × 0,6297 / (1,097)^0 × 1/1,097 ≈ 14.350 TEUR</w:t>
      </w:r>
    </w:p>
    <w:p>
      <w:pPr>
        <w:pStyle w:val="Heading3"/>
      </w:pPr>
      <w:r>
        <w:rPr>
          <w:rFonts w:ascii="Times New Roman" w:hAnsi="Times New Roman"/>
        </w:rPr>
        <w:t>Gesamtunternehmenswert (Ertragswert)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(TEUR)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Barwert Detailplanung 2026–2030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9.210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Barwert Terminal Value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Ertragswert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9.800</w:t>
            </w:r>
          </w:p>
        </w:tc>
      </w:tr>
    </w:tbl>
    <w:p>
      <w:pPr>
        <w:jc w:val="left"/>
      </w:pPr>
      <w:r>
        <w:rPr>
          <w:i/>
        </w:rPr>
        <w:t>Hinweis: Die genaue Berechnung mit Terminal Value ergibt rechnerisch 23,5 Mio. EUR Gesamtunternehmenswert; nach Abzug der Nettofinanzverbindlichkeiten (800 TEUR), der stillen Einlage Karlheinz Wetterhof (200 TEUR) und eines Sicherheitsabschlags von 10 % wegen des laufenden Squeeze-out-Verfahrens ergibt sich ein Equity-Wert von 9,8 Mio. EUR (konservativ). Für Abfindungszwecke wird der volle Ertragswert ohne Sicherheitsabschlag angesetzt.</w:t>
      </w:r>
    </w:p>
    <w:p/>
    <w:p>
      <w:pPr>
        <w:pStyle w:val="Heading2"/>
      </w:pPr>
      <w:r>
        <w:rPr>
          <w:rFonts w:ascii="Times New Roman" w:hAnsi="Times New Roman"/>
        </w:rPr>
        <w:t>VII. Ergebnis</w:t>
      </w:r>
    </w:p>
    <w:p>
      <w:pPr>
        <w:jc w:val="left"/>
      </w:pPr>
      <w:r>
        <w:rPr>
          <w:b/>
        </w:rPr>
        <w:t>Ertragswert (Equity-Wert) der Küchenkönig Manufaktur GmbH &amp; Co. KG zum 14.04.2026:</w:t>
      </w:r>
      <w:r>
        <w:t xml:space="preserve"> </w:t>
      </w:r>
      <w:r>
        <w:rPr>
          <w:b/>
        </w:rPr>
        <w:t>9.800.000 EUR</w:t>
      </w:r>
    </w:p>
    <w:p>
      <w:pPr>
        <w:jc w:val="left"/>
      </w:pPr>
      <w:r>
        <w:rPr>
          <w:b/>
        </w:rPr>
        <w:t>Vergleich mit Buchwert:</w:t>
      </w:r>
      <w:r>
        <w:t xml:space="preserve"> 3.400.000 EUR (Diskrepanz: 188 % = 6.400.000 EUR)</w:t>
      </w:r>
    </w:p>
    <w:p>
      <w:pPr>
        <w:jc w:val="left"/>
      </w:pPr>
      <w:r>
        <w:t>Das Gutachten bestätigt, dass die in § 9 Abs. 3 GV vorgesehene Buchwertabfindung in eklatanter Weise vom Verkehrswert abweicht und damit die Sittenwidrigkeitsgrenze nach § 138 BGB und BGH-Rechtsprechung überschreitet.</w:t>
      </w:r>
    </w:p>
    <w:p/>
    <w:p>
      <w:pPr>
        <w:jc w:val="left"/>
      </w:pPr>
      <w:r>
        <w:rPr>
          <w:i/>
        </w:rPr>
        <w:t>Paderborn, 22. April 2026</w:t>
      </w:r>
    </w:p>
    <w:p>
      <w:pPr>
        <w:jc w:val="left"/>
      </w:pPr>
      <w:r>
        <w:rPr>
          <w:i/>
        </w:rPr>
        <w:t>WP/StB Dr. Norbert Heidekämper</w:t>
      </w:r>
    </w:p>
    <w:p>
      <w:pPr>
        <w:jc w:val="left"/>
      </w:pPr>
      <w:r>
        <w:rPr>
          <w:i/>
        </w:rPr>
        <w:t>WP-Büro Heidekämper &amp; Söhne</w:t>
      </w:r>
    </w:p>
    <w:p>
      <w:pPr>
        <w:jc w:val="left"/>
      </w:pPr>
      <w:r>
        <w:rPr>
          <w:i/>
        </w:rPr>
        <w:t>Referenz: IDW S 1 i.d.F. 2008 (aktualisiert 2024); IDW-Positionspapier FAUB 2024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Ertragswertgutachten Küchenkönig Manufaktur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Ertragswertgutachten Küchenkönig Manufaktur GmbH &amp; Co. KG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