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02 — Haftbefehl AG Koeln vom 12. Mai 2026 (Auszug, redigiert)</w:t>
      </w:r>
    </w:p>
    <w:p>
      <w:pPr>
        <w:jc w:val="left"/>
      </w:pPr>
      <w:r>
        <w:rPr>
          <w:b/>
        </w:rPr>
        <w:t>Amtsgericht Koeln — Ermittlungsrichter — 502 Gs 4881/26</w:t>
      </w:r>
    </w:p>
    <w:p>
      <w:pPr>
        <w:jc w:val="left"/>
      </w:pPr>
      <w:r>
        <w:t>Vorgang: 122 Js 884/25 (Schwerpunkt-StA Wirtschaft Koeln)</w:t>
      </w:r>
    </w:p>
    <w:p>
      <w:pPr>
        <w:jc w:val="left"/>
      </w:pPr>
      <w:r>
        <w:t>Aktentyp: Beglaubigte Abschrift, Verteidigerkopie</w:t>
      </w:r>
    </w:p>
    <w:p/>
    <w:p>
      <w:pPr>
        <w:pStyle w:val="Heading2"/>
      </w:pPr>
      <w:r>
        <w:rPr>
          <w:rFonts w:ascii="Times New Roman" w:hAnsi="Times New Roman"/>
        </w:rPr>
        <w:t>I. Tenor</w:t>
      </w:r>
    </w:p>
    <w:p>
      <w:pPr>
        <w:jc w:val="left"/>
      </w:pPr>
      <w:r>
        <w:t>Gegen den</w:t>
      </w:r>
    </w:p>
    <w:p>
      <w:pPr>
        <w:jc w:val="left"/>
      </w:pPr>
      <w:r>
        <w:rPr>
          <w:b/>
        </w:rPr>
        <w:t>Dr. Carlsten Heinrich Pellbach-Eisenacher</w:t>
      </w:r>
      <w:r>
        <w:t>, geboren am 18.10.1971 in Koeln, deutscher Staatsangehöriger, wohnhaft Sankt-Vither Strasse 41, 50937 Koeln, Geschäftsführer der Pellbach Logistik &amp; Spedition GmbH,</w:t>
      </w:r>
    </w:p>
    <w:p>
      <w:pPr>
        <w:jc w:val="left"/>
      </w:pPr>
      <w:r>
        <w:t>wird gemäß §§ 112 Abs. 1, Abs. 2 Nr. 2, Nr. 3, 114, 125 StPO</w:t>
      </w:r>
    </w:p>
    <w:p>
      <w:pPr>
        <w:jc w:val="left"/>
      </w:pPr>
      <w:r>
        <w:rPr>
          <w:b/>
        </w:rPr>
        <w:t>die Untersuchungshaft angeordnet.</w:t>
      </w:r>
    </w:p>
    <w:p>
      <w:pPr>
        <w:jc w:val="left"/>
      </w:pPr>
      <w:r>
        <w:t>Vollzug: JVA Koeln-Ossendorf.</w:t>
      </w:r>
    </w:p>
    <w:p/>
    <w:p>
      <w:pPr>
        <w:pStyle w:val="Heading2"/>
      </w:pPr>
      <w:r>
        <w:rPr>
          <w:rFonts w:ascii="Times New Roman" w:hAnsi="Times New Roman"/>
        </w:rPr>
        <w:t>II. Tatvorwurf (zusammengefasst)</w:t>
      </w:r>
    </w:p>
    <w:p>
      <w:pPr>
        <w:jc w:val="left"/>
      </w:pPr>
      <w:r>
        <w:t>Der Beschuldigte ist dringend verdächtig, als Geschäftsführer der Pellbach Logistik &amp; Spedition GmbH</w:t>
      </w:r>
    </w:p>
    <w:p>
      <w:pPr>
        <w:pStyle w:val="ListNumber"/>
      </w:pPr>
      <w:r>
        <w:t>den Eintritt der Zahlungsunfähigkeit dieser Gesellschaft seit 12. Januar 2025 erkannt zu haben und es trotz Verstreichen der dreiwöchigen Antragsfrist (§ 15a Abs. 1 InsO) bis zum 9. März 2025 unterlassen zu haben, einen Antrag auf Eröffnung des Insolvenzverfahrens zu stellen,</w:t>
      </w:r>
    </w:p>
    <w:p>
      <w:pPr>
        <w:jc w:val="left"/>
      </w:pPr>
      <w:r>
        <w:t>— strafbar nach § 15a Abs. 4 InsO —</w:t>
      </w:r>
    </w:p>
    <w:p>
      <w:pPr>
        <w:pStyle w:val="ListNumber"/>
      </w:pPr>
      <w:r>
        <w:t>in der Krise des Unternehmens</w:t>
      </w:r>
    </w:p>
    <w:p>
      <w:pPr>
        <w:jc w:val="left"/>
      </w:pPr>
      <w:r>
        <w:t>a) Vermögensbestandteile, nämlich Lagerbestände von Markenwaren im Wert von ca. 478.000 EUR (Standort Bottrop) verheimlicht zu haben, indem er sie ohne ordnungsgemaesse Verbuchung an die Tochtergesellschaft Pellbach Logistik Polska Sp. z o.o. in Wroclaw verbringen liess (§ 283 Abs. 1 Nr. 1 StGB),</w:t>
      </w:r>
    </w:p>
    <w:p>
      <w:pPr>
        <w:jc w:val="left"/>
      </w:pPr>
      <w:r>
        <w:t>b) Handelsbücher, deren Führung gesetzlich vorgeschrieben ist, nicht ordnungsgemaess geführt und die Buchhaltung zwischen Februar und März 2025 unterbrochen zu haben (§ 283 Abs. 1 Nr. 5 StGB),</w:t>
      </w:r>
    </w:p>
    <w:p>
      <w:pPr>
        <w:jc w:val="left"/>
      </w:pPr>
      <w:r>
        <w:t>c) in einer den Anforderungen einer ordnungsgemaessen Wirtschaft grob widersprechenden Weise Vermögen vermindert zu haben durch Privatentnahmen von insgesamt 412.000 EUR im Zeitraum 01.11.2024 bis 28.02.2025 (§ 283 Abs. 1 Nr. 8 StGB),</w:t>
      </w:r>
    </w:p>
    <w:p>
      <w:pPr>
        <w:jc w:val="left"/>
      </w:pPr>
      <w:r>
        <w:t>— strafbar nach § 283 Abs. 1 Nr. 1, 5, 8 StGB —</w:t>
      </w:r>
    </w:p>
    <w:p>
      <w:pPr>
        <w:pStyle w:val="ListNumber"/>
      </w:pPr>
      <w:r>
        <w:t>unter Verletzung seiner Pflicht aus §§ 35, 43 GmbHG durch die in Ziffer 2 c) bezeichneten Privatentnahmen das Vermögen der GmbH geschädigt zu haben,</w:t>
      </w:r>
    </w:p>
    <w:p>
      <w:pPr>
        <w:jc w:val="left"/>
      </w:pPr>
      <w:r>
        <w:t>— strafbar nach § 266 Abs. 1 StGB —</w:t>
      </w:r>
    </w:p>
    <w:p>
      <w:pPr>
        <w:pStyle w:val="ListNumber"/>
      </w:pPr>
      <w:r>
        <w:t>für die Monate November 2024 bis Februar 2025 die Beiträge der Beschäftigten der Pellbach Logistik &amp; Spedition GmbH zur Sozialversicherung der Einzugsstelle vorenthalten zu haben (ca. 187.000 EUR Arbeitnehmer- und Arbeitgeberanteile insgesamt),</w:t>
      </w:r>
    </w:p>
    <w:p>
      <w:pPr>
        <w:jc w:val="left"/>
      </w:pPr>
      <w:r>
        <w:t>— strafbar nach § 266a Abs. 1, Abs. 2 StGB —</w:t>
      </w:r>
    </w:p>
    <w:p>
      <w:pPr>
        <w:pStyle w:val="ListNumber"/>
      </w:pPr>
      <w:r>
        <w:t>für die Voranmeldungszeitraeume September 2024 bis Februar 2025 zu niedrige bzw. unzutreffende Umsatzsteuer-Voranmeldungen abgegeben und dadurch Umsatzsteuer in Höhe von ca. 246.000 EUR verkürzt zu haben,</w:t>
      </w:r>
    </w:p>
    <w:p>
      <w:pPr>
        <w:jc w:val="left"/>
      </w:pPr>
      <w:r>
        <w:t>— strafbar nach § 370 Abs. 1 Nr. 1 AO —</w:t>
      </w:r>
    </w:p>
    <w:p>
      <w:pPr>
        <w:pStyle w:val="ListNumber"/>
      </w:pPr>
      <w:r>
        <w:t>im November 2022 in einem Antrag auf KfW-Coronahilfe Q4/2022 über subventionserhebliche Tatsachen unrichtige Angaben gemacht zu haben, nämlich die Liquiditätsenge und den Umsatzeinbruch des Unternehmens zu hoch dargestellt zu haben, wodurch eine ungerechtfertigte Zuwendung in Höhe von 320.000 EUR ausgezahlt wurde,</w:t>
      </w:r>
    </w:p>
    <w:p>
      <w:pPr>
        <w:jc w:val="left"/>
      </w:pPr>
      <w:r>
        <w:t>— strafbar nach § 264 Abs. 1 Nr. 1 StGB —</w:t>
      </w:r>
    </w:p>
    <w:p>
      <w:pPr>
        <w:pStyle w:val="ListNumber"/>
      </w:pPr>
      <w:r>
        <w:t>Vermögenswerte aus den unter 1. bis 6. genannten Vortaten verschleiert zu haben durch Auslandszahlungen an die Wroclaw-Tochter und weitere polnische Empfänger, insbesondere eine Sonderzahlung von 120.000 EUR im Januar 2025, die teilweise an einen polnischen Berater weitergeleitet wurde,</w:t>
      </w:r>
    </w:p>
    <w:p>
      <w:pPr>
        <w:jc w:val="left"/>
      </w:pPr>
      <w:r>
        <w:t>— strafbar nach § 261 Abs. 1, Abs. 2 StGB (n.F.) —</w:t>
      </w:r>
    </w:p>
    <w:p/>
    <w:p>
      <w:pPr>
        <w:pStyle w:val="Heading2"/>
      </w:pPr>
      <w:r>
        <w:rPr>
          <w:rFonts w:ascii="Times New Roman" w:hAnsi="Times New Roman"/>
        </w:rPr>
        <w:t>III. Dringender Tatverdacht</w:t>
      </w:r>
    </w:p>
    <w:p>
      <w:pPr>
        <w:jc w:val="left"/>
      </w:pPr>
      <w:r>
        <w:t>Der dringende Tatverdacht stützt sich auf:</w:t>
      </w:r>
    </w:p>
    <w:p>
      <w:pPr>
        <w:pStyle w:val="ListBullet"/>
      </w:pPr>
      <w:r>
        <w:t>die Aussagen der Zeugin Mira Quasthoff in der Vernehmung vom 18.03.2026 (KPI Koeln, Bd. III, Bl. 312–354) und vom 14.04.2026 (StA, Bd. V, Bl. 612–648);</w:t>
      </w:r>
    </w:p>
    <w:p>
      <w:pPr>
        <w:pStyle w:val="ListBullet"/>
      </w:pPr>
      <w:r>
        <w:t>die Strafanzeige des Insolvenzverwalters RA Dr. Wagner-Hieronymi vom 28.10.2025 (Bd. I, Bl. 1–28);</w:t>
      </w:r>
    </w:p>
    <w:p>
      <w:pPr>
        <w:pStyle w:val="ListBullet"/>
      </w:pPr>
      <w:r>
        <w:t>das Gutachten der öffentlich bestellten und vereidigten Sachverständigen Dr. Margarete Schönwetter vom 19.02.2026 zur Insolvenzreife (Bd. IV, Bl. 412–488);</w:t>
      </w:r>
    </w:p>
    <w:p>
      <w:pPr>
        <w:pStyle w:val="ListBullet"/>
      </w:pPr>
      <w:r>
        <w:t>den Bericht der KPI Koeln, Komm. Hartmann, vom 24.03.2026 zum Lagerbestand Bottrop (Bd. III, Bl. 360–384);</w:t>
      </w:r>
    </w:p>
    <w:p>
      <w:pPr>
        <w:pStyle w:val="ListBullet"/>
      </w:pPr>
      <w:r>
        <w:t>E-Mail-Auswertung Buchhaltung Pellbach (Asservate A-1 bis A-14).</w:t>
      </w:r>
    </w:p>
    <w:p/>
    <w:p>
      <w:pPr>
        <w:pStyle w:val="Heading2"/>
      </w:pPr>
      <w:r>
        <w:rPr>
          <w:rFonts w:ascii="Times New Roman" w:hAnsi="Times New Roman"/>
        </w:rPr>
        <w:t>IV. Haftgründe</w:t>
      </w:r>
    </w:p>
    <w:p>
      <w:pPr>
        <w:pStyle w:val="Heading3"/>
      </w:pPr>
      <w:r>
        <w:rPr>
          <w:rFonts w:ascii="Times New Roman" w:hAnsi="Times New Roman"/>
        </w:rPr>
        <w:t>1. Fluchtgefahr (§ 112 Abs. 2 Nr. 2 StPO)</w:t>
      </w:r>
    </w:p>
    <w:p>
      <w:pPr>
        <w:jc w:val="left"/>
      </w:pPr>
      <w:r>
        <w:t>Der Beschuldigte verfügt über erhebliches Privatvermögen (geschätzt über 2,1 Mio EUR), gute internationale Kontakte (insbesondere nach Polen über die Wroclaw-Tochter) und eine Sprachkenntnis Englisch / Polnisch. Die zu erwartende Strafe (Strafrahmen Gesamtstrafe oberhalb 3 Jahre Freiheitsstrafe) begründet einen Fluchtanreiz. Der Beschuldigte hat in den letzten Monaten mehrere Auslandsreisen nach Polen und in die Schweiz unternommen.</w:t>
      </w:r>
    </w:p>
    <w:p>
      <w:pPr>
        <w:pStyle w:val="Heading3"/>
      </w:pPr>
      <w:r>
        <w:rPr>
          <w:rFonts w:ascii="Times New Roman" w:hAnsi="Times New Roman"/>
        </w:rPr>
        <w:t>2. Verdunkelungsgefahr (§ 112 Abs. 2 Nr. 3 StPO)</w:t>
      </w:r>
    </w:p>
    <w:p>
      <w:pPr>
        <w:jc w:val="left"/>
      </w:pPr>
      <w:r>
        <w:t>Es besteht der dringende Verdacht, dass der Beschuldigte Mitarbeiter und insbesondere die Zeugin Quasthoff sowie weitere Auskunftspersonen in der Wroclaw-Tochter beeinflussen könnte. Eine vergleichbare Versuche wurden im April 2026 dokumentiert (Mitteilung Insolvenzverwalter vom 27.04.2026, Bd. VII, Bl. 1422).</w:t>
      </w:r>
    </w:p>
    <w:p/>
    <w:p>
      <w:pPr>
        <w:pStyle w:val="Heading2"/>
      </w:pPr>
      <w:r>
        <w:rPr>
          <w:rFonts w:ascii="Times New Roman" w:hAnsi="Times New Roman"/>
        </w:rPr>
        <w:t>V. Verhaeltnismaessigkeit</w:t>
      </w:r>
    </w:p>
    <w:p>
      <w:pPr>
        <w:jc w:val="left"/>
      </w:pPr>
      <w:r>
        <w:t>Mildere Mittel (§ 116 StPO) kommen nach derzeitigem Ermittlungsstand nicht in Betracht, weil weder Meldepflicht noch Kaution geeignet erscheinen, die Fluchtgefahr und Verdunkelungsgefahr hinreichend zu reduzieren. Die Anordnung der Untersuchungshaft ist zur Sicherung des Verfahrens erforderlich und steht zur Bedeutung der Sache und der zu erwartenden Strafe nicht ausser Verhältnis.</w:t>
      </w:r>
    </w:p>
    <w:p/>
    <w:p>
      <w:pPr>
        <w:pStyle w:val="Heading2"/>
      </w:pPr>
      <w:r>
        <w:rPr>
          <w:rFonts w:ascii="Times New Roman" w:hAnsi="Times New Roman"/>
        </w:rPr>
        <w:t>VI. Belehrung</w:t>
      </w:r>
    </w:p>
    <w:p>
      <w:pPr>
        <w:jc w:val="left"/>
      </w:pPr>
      <w:r>
        <w:t>Belehrung des Beschuldigten gemäß § 115 Abs. 3, § 136 Abs. 1, § 117 Abs. 1, § 304 Abs. 1 StPO ist erfolgt.</w:t>
      </w:r>
    </w:p>
    <w:p/>
    <w:p>
      <w:pPr>
        <w:jc w:val="left"/>
      </w:pPr>
      <w:r>
        <w:t>Koeln, den 12. Mai 2026</w:t>
      </w:r>
    </w:p>
    <w:p>
      <w:pPr>
        <w:jc w:val="left"/>
      </w:pPr>
      <w:r>
        <w:t xml:space="preserve">gez. </w:t>
      </w:r>
      <w:r>
        <w:rPr>
          <w:b/>
        </w:rPr>
        <w:t>Helmstedter</w:t>
      </w:r>
    </w:p>
    <w:p>
      <w:pPr>
        <w:jc w:val="left"/>
      </w:pPr>
      <w:r>
        <w:t>Richter am Amtsgericht</w:t>
      </w:r>
    </w:p>
    <w:p>
      <w:pPr>
        <w:jc w:val="left"/>
      </w:pPr>
      <w:r>
        <w:t>— Beglaubigte Abschrift —</w:t>
      </w:r>
    </w:p>
    <w:p>
      <w:pPr>
        <w:jc w:val="left"/>
      </w:pPr>
      <w:r>
        <w:t>Geschäftsstelle AG Koeln, gez. Justizangestellte Bertenburg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Haftbefehl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Haftbefehl AG</w:t>
    </w:r>
  </w:p>
  <w:p>
    <w:pPr>
      <w:jc w:val="left"/>
      <w:pBdr>
        <w:bottom w:val="single" w:sz="6" w:space="2" w:color="2C5230"/>
      </w:pBdr>
    </w:pPr>
    <w:r>
      <w:rPr>
        <w:rFonts w:ascii="Times New Roman" w:hAnsi="Times New Roman"/>
        <w:color w:val="6B6B66"/>
        <w:sz w:val="16"/>
      </w:rPr>
      <w:t>redigiert) · 502 Gs 4881/26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