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Anklageschrift-Entwurf StA Koeln (Stand: 27.05.2026, Vor-Eröffnung)</w:t>
      </w:r>
    </w:p>
    <w:p>
      <w:pPr>
        <w:jc w:val="left"/>
      </w:pPr>
      <w:r>
        <w:rPr>
          <w:b/>
        </w:rPr>
        <w:t>Schwerpunktstaatsanwaltschaft für Wirtschaftsstrafsachen Koeln</w:t>
      </w:r>
    </w:p>
    <w:p>
      <w:pPr>
        <w:jc w:val="left"/>
      </w:pPr>
      <w:r>
        <w:t>122 Js 884/25 — Bearb.: OSchA Schamoni-Wieselburg</w:t>
      </w:r>
    </w:p>
    <w:p>
      <w:pPr>
        <w:jc w:val="left"/>
      </w:pPr>
      <w:r>
        <w:t>Stand: Entwurf vom 27.05.2026 (interner Entwurf — Anklage noch nicht erhoben, Anhörung § 33 StPO läuft)</w:t>
      </w:r>
    </w:p>
    <w:p>
      <w:pPr>
        <w:jc w:val="left"/>
      </w:pPr>
      <w:r>
        <w:t>Anmerkung Verteidigerin: Vorab-Übersendung im Rahmen Verständigungsvorgespräch 26.05.2026.</w:t>
      </w:r>
    </w:p>
    <w:p/>
    <w:p>
      <w:pPr>
        <w:pStyle w:val="Heading2"/>
      </w:pPr>
      <w:r>
        <w:rPr>
          <w:rFonts w:ascii="Times New Roman" w:hAnsi="Times New Roman"/>
        </w:rPr>
        <w:t>I. Angeschuldigte und Verfahren</w:t>
      </w:r>
    </w:p>
    <w:p>
      <w:pPr>
        <w:jc w:val="left"/>
      </w:pPr>
      <w:r>
        <w:rPr>
          <w:b/>
        </w:rPr>
        <w:t>Angeschuldigter:</w:t>
      </w:r>
      <w:r>
        <w:t xml:space="preserve"> Dr. Carlsten Heinrich Pellbach-Eisenacher, geb. 18.10.1971 in Koeln, deutscher Staatsangehöriger, wohnhaft Sankt-Vither Strasse 41, 50937 Koeln, derzeit JVA Koeln-Ossendorf (U-Haft seit 12.05.2026).</w:t>
      </w:r>
    </w:p>
    <w:p>
      <w:pPr>
        <w:jc w:val="left"/>
      </w:pPr>
      <w:r>
        <w:rPr>
          <w:b/>
        </w:rPr>
        <w:t>Verteidiger:</w:t>
      </w:r>
      <w:r>
        <w:t xml:space="preserve"> Dr. Lia Vellbruck-Eisinger, Vellbruck Strafverteidigung Koeln (Wahlmandatin, Antrag auf Beiordnung als Pflichtverteidigerin läuft).</w:t>
      </w:r>
    </w:p>
    <w:p/>
    <w:p>
      <w:pPr>
        <w:pStyle w:val="Heading2"/>
      </w:pPr>
      <w:r>
        <w:rPr>
          <w:rFonts w:ascii="Times New Roman" w:hAnsi="Times New Roman"/>
        </w:rPr>
        <w:t>II. Tatvorwürfe — Konkretisierte Fassung</w:t>
      </w:r>
    </w:p>
    <w:p>
      <w:pPr>
        <w:pStyle w:val="Heading3"/>
      </w:pPr>
      <w:r>
        <w:rPr>
          <w:rFonts w:ascii="Times New Roman" w:hAnsi="Times New Roman"/>
        </w:rPr>
        <w:t>Komplex 1 — Insolvenzverschleppung (§ 15a Abs. 1, Abs. 4 InsO)</w:t>
      </w:r>
    </w:p>
    <w:p>
      <w:pPr>
        <w:jc w:val="left"/>
      </w:pPr>
      <w:r>
        <w:t>Der Angeschuldigte war seit Gründung 2008 als alleiniger Geschäftsführer der Pellbach Logistik &amp; Spedition GmbH eintragungspflichtig im Handelsregister Koeln (HRB 14 882).</w:t>
      </w:r>
    </w:p>
    <w:p>
      <w:pPr>
        <w:jc w:val="left"/>
      </w:pPr>
      <w:r>
        <w:t>Die Gesellschaft war bereits zum 12.01.2025 zahlungsunfähig im Sinne des § 17 Abs. 2 InsO (lt. Sachverstaendigem-Gutachten Schönwetter, Bd. IV). Überschuldung iSd § 19 InsO trat spätestens am 02.02.2025 ein. Der Angeschuldigte stellte den Eigenantrag erst am 09.03.2025. Damit überschritt er die Antragsfrist von drei Wochen (§ 15a Abs. 1 InsO) um mindestens fünf Wochen.</w:t>
      </w:r>
    </w:p>
    <w:p>
      <w:pPr>
        <w:jc w:val="left"/>
      </w:pPr>
      <w:r>
        <w:t>Der Angeschuldigte hatte die Insolvenzreife erkannt: Steuerberater Engelmeier hatte ihn am 18.12.2024 schriftlich gewarnt; eine interne Liquiditätsübersicht vom 08.01.2025 wies negative Liquidität aus.</w:t>
      </w:r>
    </w:p>
    <w:p>
      <w:pPr>
        <w:jc w:val="left"/>
      </w:pPr>
      <w:r>
        <w:rPr>
          <w:b/>
        </w:rPr>
        <w:t>Strafmass-Vorstellung StA:</w:t>
      </w:r>
      <w:r>
        <w:t xml:space="preserve"> Freiheitsstrafe 8 Monate (Einzelstrafe).</w:t>
      </w:r>
    </w:p>
    <w:p>
      <w:pPr>
        <w:pStyle w:val="Heading3"/>
      </w:pPr>
      <w:r>
        <w:rPr>
          <w:rFonts w:ascii="Times New Roman" w:hAnsi="Times New Roman"/>
        </w:rPr>
        <w:t>Komplex 2 — Bankrott (§ 283 Abs. 1 Nr. 1, 5, 8 StGB)</w:t>
      </w:r>
    </w:p>
    <w:p>
      <w:pPr>
        <w:pStyle w:val="Heading3"/>
      </w:pPr>
      <w:r>
        <w:rPr>
          <w:rFonts w:ascii="Times New Roman" w:hAnsi="Times New Roman"/>
        </w:rPr>
        <w:t>2.1 § 283 Abs. 1 Nr. 1 StGB (Verheimlichen Vermögen)</w:t>
      </w:r>
    </w:p>
    <w:p>
      <w:pPr>
        <w:jc w:val="left"/>
      </w:pPr>
      <w:r>
        <w:t xml:space="preserve">Im Zeitraum 15.02.2025 bis 09.03.2025 liess der Angeschuldigte Markenware im Wert von </w:t>
      </w:r>
      <w:r>
        <w:rPr>
          <w:b/>
        </w:rPr>
        <w:t>ca. 478.000 EUR</w:t>
      </w:r>
      <w:r>
        <w:t xml:space="preserve"> (Wholesale-Wert) ohne ordnungsgemaesse buchhalterische Erfassung vom Lager Bottrop (Industriestrasse 88) in das Lager der Tochtergesellschaft Pellbach Logistik Polska Sp. z o.o., Wroclaw, verbringen. Die Verbringung erfolgte mittels 11 LKW-Fahrten. Der Angeschuldigte versuchte damit, diese Bestände dem Zugriff des Insolvenzverwalters zu entziehen.</w:t>
      </w:r>
    </w:p>
    <w:p>
      <w:pPr>
        <w:pStyle w:val="Heading3"/>
      </w:pPr>
      <w:r>
        <w:rPr>
          <w:rFonts w:ascii="Times New Roman" w:hAnsi="Times New Roman"/>
        </w:rPr>
        <w:t>2.2 § 283 Abs. 1 Nr. 5 StGB (Buchführung)</w:t>
      </w:r>
    </w:p>
    <w:p>
      <w:pPr>
        <w:jc w:val="left"/>
      </w:pPr>
      <w:r>
        <w:t>Im Zeitraum 12.02.2025 bis 28.03.2025 unterliess der Angeschuldigte die Fortführung der handelsrechtlich vorgeschriebenen Buchführung der GmbH. Insbesondere wurden Belegerfassung, Hauptbuchposten, Kassenführung sowie Debitoren-/Kreditorenpflege nicht ordnungsgemaess fortgeführt.</w:t>
      </w:r>
    </w:p>
    <w:p>
      <w:pPr>
        <w:pStyle w:val="Heading3"/>
      </w:pPr>
      <w:r>
        <w:rPr>
          <w:rFonts w:ascii="Times New Roman" w:hAnsi="Times New Roman"/>
        </w:rPr>
        <w:t>2.3 § 283 Abs. 1 Nr. 8 StGB (Grob wirtschaftswidriges Verhalten)</w:t>
      </w:r>
    </w:p>
    <w:p>
      <w:pPr>
        <w:jc w:val="left"/>
      </w:pPr>
      <w:r>
        <w:t xml:space="preserve">Im Zeitraum 01.11.2024 bis 28.02.2025 verminderte der Angeschuldigte das Gesellschaftsvermögen durch Privatentnahmen von </w:t>
      </w:r>
      <w:r>
        <w:rPr>
          <w:b/>
        </w:rPr>
        <w:t>insgesamt 412.000 EUR</w:t>
      </w:r>
      <w:r>
        <w:t xml:space="preserve">, obwohl die Krise erkennbar war und die Privatentnahmen einer ordnungsgemaessen Wirtschaftsführung grob widersprachen. Im Einzelnen siehe </w:t>
      </w:r>
      <w:r>
        <w:t>tabellen/privatentnahmen_pellbach_2024_2025.csv</w:t>
      </w:r>
      <w:r>
        <w:t>.</w:t>
      </w:r>
    </w:p>
    <w:p>
      <w:pPr>
        <w:jc w:val="left"/>
      </w:pPr>
      <w:r>
        <w:rPr>
          <w:b/>
        </w:rPr>
        <w:t>Strafmass-Vorstellung StA:</w:t>
      </w:r>
      <w:r>
        <w:t xml:space="preserve"> Freiheitsstrafe 1 Jahr 8 Monate (Einzelstrafe, Tateinheit).</w:t>
      </w:r>
    </w:p>
    <w:p>
      <w:pPr>
        <w:pStyle w:val="Heading3"/>
      </w:pPr>
      <w:r>
        <w:rPr>
          <w:rFonts w:ascii="Times New Roman" w:hAnsi="Times New Roman"/>
        </w:rPr>
        <w:t>Komplex 3 — Untreue (§ 266 Abs. 1 StGB)</w:t>
      </w:r>
    </w:p>
    <w:p>
      <w:pPr>
        <w:jc w:val="left"/>
      </w:pPr>
      <w:r>
        <w:t>Identisch mit Komplex 2.3 (Privatentnahmen). Die Tat steht in Tateinheit zu § 283 Abs. 1 Nr. 8 StGB. Sie wird jedoch wegen unterschiedlicher Rechtsgüter (§ 266 StGB schützt das Vermögen der GmbH selbst, § 283 StGB die Gläubigergesamtheit) gesondert verfolgt.</w:t>
      </w:r>
    </w:p>
    <w:p>
      <w:pPr>
        <w:jc w:val="left"/>
      </w:pPr>
      <w:r>
        <w:rPr>
          <w:b/>
        </w:rPr>
        <w:t>Strafmass-Vorstellung StA:</w:t>
      </w:r>
      <w:r>
        <w:t xml:space="preserve"> im Wege Tateinheit aufgehend in § 283 StGB.</w:t>
      </w:r>
    </w:p>
    <w:p>
      <w:pPr>
        <w:pStyle w:val="Heading3"/>
      </w:pPr>
      <w:r>
        <w:rPr>
          <w:rFonts w:ascii="Times New Roman" w:hAnsi="Times New Roman"/>
        </w:rPr>
        <w:t>Komplex 4 — Vorenthalten Arbeitgeberanteile (§ 266a Abs. 1, Abs. 2 StGB)</w:t>
      </w:r>
    </w:p>
    <w:p>
      <w:pPr>
        <w:jc w:val="left"/>
      </w:pPr>
      <w:r>
        <w:t>Für die Beitragsmonate November 2024 bis Februar 2025 führte der Angeschuldigte als Geschäftsführer der Pellbach Logistik &amp; Spedition GmbH</w:t>
      </w:r>
    </w:p>
    <w:p>
      <w:pPr>
        <w:pStyle w:val="ListBullet"/>
      </w:pPr>
      <w:r>
        <w:t xml:space="preserve">die Arbeitnehmeranteile zur Sozialversicherung in Höhe von </w:t>
      </w:r>
      <w:r>
        <w:rPr>
          <w:b/>
        </w:rPr>
        <w:t>insgesamt 97.300 EUR</w:t>
      </w:r>
      <w:r>
        <w:t xml:space="preserve"> nicht an die zuständigen Einzugsstellen ab (Schwerpunkt: AOK Rheinland; BARMER; IKK classic) — strafbar nach § 266a Abs. 1 StGB;</w:t>
      </w:r>
    </w:p>
    <w:p>
      <w:pPr>
        <w:pStyle w:val="ListBullet"/>
      </w:pPr>
      <w:r>
        <w:t xml:space="preserve">die Arbeitgeberanteile in Höhe von </w:t>
      </w:r>
      <w:r>
        <w:rPr>
          <w:b/>
        </w:rPr>
        <w:t>insgesamt 89.700 EUR</w:t>
      </w:r>
      <w:r>
        <w:t xml:space="preserve"> nicht ab — strafbar nach § 266a Abs. 2 StGB.</w:t>
      </w:r>
    </w:p>
    <w:p>
      <w:pPr>
        <w:jc w:val="left"/>
      </w:pPr>
      <w:r>
        <w:rPr>
          <w:b/>
        </w:rPr>
        <w:t>Strafmass-Vorstellung StA:</w:t>
      </w:r>
      <w:r>
        <w:t xml:space="preserve"> Freiheitsstrafe 10 Monate.</w:t>
      </w:r>
    </w:p>
    <w:p>
      <w:pPr>
        <w:pStyle w:val="Heading3"/>
      </w:pPr>
      <w:r>
        <w:rPr>
          <w:rFonts w:ascii="Times New Roman" w:hAnsi="Times New Roman"/>
        </w:rPr>
        <w:t>Komplex 5 — Steuerhinterziehung (§ 370 Abs. 1 Nr. 1 AO)</w:t>
      </w:r>
    </w:p>
    <w:p>
      <w:pPr>
        <w:jc w:val="left"/>
      </w:pPr>
      <w:r>
        <w:t xml:space="preserve">Für die Umsatzsteuer-Voranmeldungszeitraeume </w:t>
      </w:r>
      <w:r>
        <w:rPr>
          <w:b/>
        </w:rPr>
        <w:t>September 2024 bis Februar 2025</w:t>
      </w:r>
      <w:r>
        <w:t xml:space="preserve"> reichte der Angeschuldigte unrichtige Voranmeldungen ein, in denen Umsatzerlöse zu niedrig erklärt wurden. Die hieraus resultierende Verkürzung beträgt </w:t>
      </w:r>
      <w:r>
        <w:rPr>
          <w:b/>
        </w:rPr>
        <w:t>ca. 246.000 EUR</w:t>
      </w:r>
      <w:r>
        <w:t xml:space="preserve"> USt.</w:t>
      </w:r>
    </w:p>
    <w:p>
      <w:pPr>
        <w:jc w:val="left"/>
      </w:pPr>
      <w:r>
        <w:rPr>
          <w:b/>
        </w:rPr>
        <w:t>Strafmass-Vorstellung StA:</w:t>
      </w:r>
      <w:r>
        <w:t xml:space="preserve"> Freiheitsstrafe 1 Jahr 2 Monate.</w:t>
      </w:r>
    </w:p>
    <w:p>
      <w:pPr>
        <w:pStyle w:val="Heading3"/>
      </w:pPr>
      <w:r>
        <w:rPr>
          <w:rFonts w:ascii="Times New Roman" w:hAnsi="Times New Roman"/>
        </w:rPr>
        <w:t>Komplex 6 — Subventionsbetrug (§ 264 Abs. 1 Nr. 1 StGB)</w:t>
      </w:r>
    </w:p>
    <w:p>
      <w:pPr>
        <w:jc w:val="left"/>
      </w:pPr>
      <w:r>
        <w:t xml:space="preserve">Am 22.11.2022 reichte der Angeschuldigte für die Pellbach Logistik &amp; Spedition GmbH einen Antrag auf KfW-Coronahilfe Q4/2022 ein. In dem Antrag gab er an, der Umsatz sei im Vergleichszeitraum Q4/2019 um 38 % rückgängig (tatsächlicher Rückgang ca. 12 %). Aufgrund dieser unrichtigen Angaben wurde mit Bescheid der KfW vom 09.12.2022 eine Coronahilfe in Höhe von </w:t>
      </w:r>
      <w:r>
        <w:rPr>
          <w:b/>
        </w:rPr>
        <w:t>320.000 EUR</w:t>
      </w:r>
      <w:r>
        <w:t xml:space="preserve"> ausgereicht.</w:t>
      </w:r>
    </w:p>
    <w:p>
      <w:pPr>
        <w:jc w:val="left"/>
      </w:pPr>
      <w:r>
        <w:rPr>
          <w:b/>
        </w:rPr>
        <w:t>Strafmass-Vorstellung StA:</w:t>
      </w:r>
      <w:r>
        <w:t xml:space="preserve"> Freiheitsstrafe 1 Jahr (Einzelstrafe).</w:t>
      </w:r>
    </w:p>
    <w:p>
      <w:pPr>
        <w:pStyle w:val="Heading3"/>
      </w:pPr>
      <w:r>
        <w:rPr>
          <w:rFonts w:ascii="Times New Roman" w:hAnsi="Times New Roman"/>
        </w:rPr>
        <w:t>Komplex 7 — Geldwaesche (§ 261 Abs. 1, Abs. 2 StGB n.F.)</w:t>
      </w:r>
    </w:p>
    <w:p>
      <w:pPr>
        <w:jc w:val="left"/>
      </w:pPr>
      <w:r>
        <w:t>Am 17.01.2025 überwies der Angeschuldigte 120.000 EUR an die Wroclaw-Tochter. Davon flossen am 24.01.2025 80.000 EUR an einen polnischen Berater (D. Kowalczyk-Mlocki) weiter. Die Gelder stammen aus dem Komplex Untreue (Komplex 3) und § 283 StGB (Komplex 2.3). Damit hat der Angeschuldigte Vermögenswerte aus rechtswidriger Tat verschleiert.</w:t>
      </w:r>
    </w:p>
    <w:p>
      <w:pPr>
        <w:jc w:val="left"/>
      </w:pPr>
      <w:r>
        <w:rPr>
          <w:b/>
        </w:rPr>
        <w:t>Strafmass-Vorstellung StA:</w:t>
      </w:r>
      <w:r>
        <w:t xml:space="preserve"> Freiheitsstrafe 9 Monate.</w:t>
      </w:r>
    </w:p>
    <w:p/>
    <w:p>
      <w:pPr>
        <w:pStyle w:val="Heading2"/>
      </w:pPr>
      <w:r>
        <w:rPr>
          <w:rFonts w:ascii="Times New Roman" w:hAnsi="Times New Roman"/>
        </w:rPr>
        <w:t>III. Gesamtstrafe (Erwartung StA)</w:t>
      </w:r>
    </w:p>
    <w:p>
      <w:pPr>
        <w:jc w:val="left"/>
      </w:pPr>
      <w:r>
        <w:t xml:space="preserve">Auf Grundlage §§ 53, 54 StGB schlägt die StA eine </w:t>
      </w:r>
      <w:r>
        <w:rPr>
          <w:b/>
        </w:rPr>
        <w:t>Gesamtfreiheitsstrafe von 4 Jahren 6 Monaten</w:t>
      </w:r>
      <w:r>
        <w:t xml:space="preserve"> vor.</w:t>
      </w:r>
    </w:p>
    <w:p>
      <w:pPr>
        <w:jc w:val="left"/>
      </w:pPr>
      <w:r>
        <w:t>Bei Bewährung (auch teilweise) wäre die Strafe nicht aussetzungsfaehig (§ 56 Abs. 2 StGB).</w:t>
      </w:r>
    </w:p>
    <w:p/>
    <w:p>
      <w:pPr>
        <w:pStyle w:val="Heading2"/>
      </w:pPr>
      <w:r>
        <w:rPr>
          <w:rFonts w:ascii="Times New Roman" w:hAnsi="Times New Roman"/>
        </w:rPr>
        <w:t>IV. Beweismittel</w:t>
      </w:r>
    </w:p>
    <w:p>
      <w:pPr>
        <w:jc w:val="left"/>
      </w:pPr>
      <w:r>
        <w:t>Die StA stützt sich auf:</w:t>
      </w:r>
    </w:p>
    <w:p>
      <w:pPr>
        <w:pStyle w:val="ListNumber"/>
      </w:pPr>
      <w:r>
        <w:rPr>
          <w:b/>
        </w:rPr>
        <w:t>Zeugenaussagen:</w:t>
      </w:r>
    </w:p>
    <w:p>
      <w:pPr>
        <w:pStyle w:val="ListBullet"/>
      </w:pPr>
      <w:r>
        <w:t>Mira Quasthoff (V1: 18.03.2026 / V2: 14.04.2026)</w:t>
      </w:r>
    </w:p>
    <w:p>
      <w:pPr>
        <w:pStyle w:val="ListBullet"/>
      </w:pPr>
      <w:r>
        <w:t>Björn Tannekoetter, ehem. Disponent Standort Bottrop (V: 12.04.2026)</w:t>
      </w:r>
    </w:p>
    <w:p>
      <w:pPr>
        <w:pStyle w:val="ListBullet"/>
      </w:pPr>
      <w:r>
        <w:t>Hubertus Engelmeier, Steuerberater (V: 28.04.2026)</w:t>
      </w:r>
    </w:p>
    <w:p>
      <w:pPr>
        <w:pStyle w:val="ListBullet"/>
      </w:pPr>
      <w:r>
        <w:t>Solveig Krazenburg, Betriebsrätin (V: 16.04.2026)</w:t>
      </w:r>
    </w:p>
    <w:p>
      <w:pPr>
        <w:pStyle w:val="ListBullet"/>
      </w:pPr>
      <w:r>
        <w:t>Krszewski, Disponent Bottrop (V: 12.04.2026, durch Dolmetscher)</w:t>
      </w:r>
    </w:p>
    <w:p>
      <w:pPr>
        <w:pStyle w:val="ListNumber"/>
      </w:pPr>
      <w:r>
        <w:rPr>
          <w:b/>
        </w:rPr>
        <w:t>Sachverständige:</w:t>
      </w:r>
    </w:p>
    <w:p>
      <w:pPr>
        <w:pStyle w:val="ListBullet"/>
      </w:pPr>
      <w:r>
        <w:t>Dr. Margarete Schönwetter (Insolvenzreife / Bilanz, Gutachten 19.02.2026)</w:t>
      </w:r>
    </w:p>
    <w:p>
      <w:pPr>
        <w:pStyle w:val="ListBullet"/>
      </w:pPr>
      <w:r>
        <w:t>Dipl.-Kfm. Otto Strassbroich (USt-Berechnung)</w:t>
      </w:r>
    </w:p>
    <w:p>
      <w:pPr>
        <w:pStyle w:val="ListNumber"/>
      </w:pPr>
      <w:r>
        <w:rPr>
          <w:b/>
        </w:rPr>
        <w:t>Urkundenbeweis:</w:t>
      </w:r>
    </w:p>
    <w:p>
      <w:pPr>
        <w:pStyle w:val="ListBullet"/>
      </w:pPr>
      <w:r>
        <w:t>Antrag KfW Coronahilfe Q4/2022, Bescheid KfW vom 09.12.2022</w:t>
      </w:r>
    </w:p>
    <w:p>
      <w:pPr>
        <w:pStyle w:val="ListBullet"/>
      </w:pPr>
      <w:r>
        <w:t>Buchhaltung Pellbach Logistik 2024 (Asservate B-2, B-3, A-10)</w:t>
      </w:r>
    </w:p>
    <w:p>
      <w:pPr>
        <w:pStyle w:val="ListBullet"/>
      </w:pPr>
      <w:r>
        <w:t>E-Mails Pellbach &lt;-&gt; Engelmeier, Pellbach &lt;-&gt; Quasthoff</w:t>
      </w:r>
    </w:p>
    <w:p>
      <w:pPr>
        <w:pStyle w:val="ListBullet"/>
      </w:pPr>
      <w:r>
        <w:t>Kontobewegungen Wroclaw 2024-2025</w:t>
      </w:r>
    </w:p>
    <w:p>
      <w:pPr>
        <w:pStyle w:val="ListNumber"/>
      </w:pPr>
      <w:r>
        <w:rPr>
          <w:b/>
        </w:rPr>
        <w:t>Eigene Einlassung des Angeschuldigten</w:t>
      </w:r>
      <w:r>
        <w:t xml:space="preserve"> (sofern erfolgt).</w:t>
      </w:r>
    </w:p>
    <w:p/>
    <w:p>
      <w:pPr>
        <w:pStyle w:val="Heading2"/>
      </w:pPr>
      <w:r>
        <w:rPr>
          <w:rFonts w:ascii="Times New Roman" w:hAnsi="Times New Roman"/>
        </w:rPr>
        <w:t>V. Anträge StA</w:t>
      </w:r>
    </w:p>
    <w:p>
      <w:pPr>
        <w:jc w:val="left"/>
      </w:pPr>
      <w:r>
        <w:t>Die StA Koeln beantragt,</w:t>
      </w:r>
    </w:p>
    <w:p>
      <w:pPr>
        <w:pStyle w:val="ListNumber"/>
      </w:pPr>
      <w:r>
        <w:t>die Anklage zu eröffnen und das Hauptverfahren vor der Wirtschaftsstrafkammer des LG Koeln zu eröffnen,</w:t>
      </w:r>
    </w:p>
    <w:p>
      <w:pPr>
        <w:pStyle w:val="ListNumber"/>
      </w:pPr>
      <w:r>
        <w:t>den Haftbefehl gemäß Beschluss des AG Koeln vom 12.05.2026 (502 Gs 4881/26) aufrechtzuerhalten,</w:t>
      </w:r>
    </w:p>
    <w:p>
      <w:pPr>
        <w:pStyle w:val="ListNumber"/>
      </w:pPr>
      <w:r>
        <w:t>Beweisaufnahme gemäß Beweismittelliste durchzuführen,</w:t>
      </w:r>
    </w:p>
    <w:p>
      <w:pPr>
        <w:pStyle w:val="ListNumber"/>
      </w:pPr>
      <w:r>
        <w:t>ergänzend einen vorläufigen Vermögensarrest gemäß §§ 111e Abs. 1, 111j StPO in Höhe von 1.485.000 EUR anzuordnen.</w:t>
      </w:r>
    </w:p>
    <w:p/>
    <w:p>
      <w:pPr>
        <w:jc w:val="left"/>
      </w:pPr>
      <w:r>
        <w:rPr>
          <w:b/>
        </w:rPr>
        <w:t>Koeln, den 27. Mai 2026</w:t>
      </w:r>
    </w:p>
    <w:p>
      <w:pPr>
        <w:jc w:val="left"/>
      </w:pPr>
      <w:r>
        <w:t xml:space="preserve">gez. </w:t>
      </w:r>
      <w:r>
        <w:rPr>
          <w:b/>
        </w:rPr>
        <w:t>Schamoni-Wieselburg</w:t>
      </w:r>
    </w:p>
    <w:p>
      <w:pPr>
        <w:jc w:val="left"/>
      </w:pPr>
      <w:r>
        <w:t>Oberschwerpunkt-Staatsanwalt für Wirtschaftsstrafsachen</w:t>
      </w:r>
    </w:p>
    <w:p/>
    <w:p>
      <w:pPr>
        <w:pStyle w:val="Heading2"/>
      </w:pPr>
      <w:r>
        <w:rPr>
          <w:rFonts w:ascii="Times New Roman" w:hAnsi="Times New Roman"/>
        </w:rPr>
        <w:t>Verteidiger-Vermerk (intern, 28.05.2026)</w:t>
      </w:r>
    </w:p>
    <w:p>
      <w:pPr>
        <w:jc w:val="left"/>
      </w:pPr>
      <w:r>
        <w:t>Die Anklageschrift erscheint im Komplex 1 (§ 15a InsO) über Gebühr stringent, weil sie ausschliesslich auf Schönwetter-Gutachten und Engelmeier-Warnung stützt. Wir werden in der Schutzschrift (Akte 10) die Insolvenzreife substantiell bestreiten und ein Gegengutachten beantragen. Komplex 6 (KfW) ist besonders angreifbar, weil die Umsatzangaben branchenmaessig schwankungsanfaellig waren. Komplex 7 (Geldwaesche) ist nur tragfähig, wenn Komplex 2/3 als Vortat steht — bei Wegfall fällt § 261 mit. Komplex 4 (§ 266a) ist im Tatsachlichen vom Mandanten teilweise eingeräumt; hier Reduktion durch § 266a Abs. 6 StGB scheidet aus, weil Beiträge nicht binnen 7-Tage-Frist nachentrichtet wurden.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Schwerpunktstaatsanwaltschaft für Wirtschaftsstrafsachen Koeln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Schwerpunktstaatsanwaltschaft für Wirtschaftsstrafsachen Koeln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122 Js 884/25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