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05 — Verteidiger-interne Aktenübersicht (Aktenkartei)</w:t>
      </w:r>
    </w:p>
    <w:p>
      <w:pPr>
        <w:jc w:val="left"/>
      </w:pPr>
      <w:r>
        <w:rPr>
          <w:b/>
        </w:rPr>
        <w:t>Vellbruck Strafverteidigung Koeln</w:t>
      </w:r>
    </w:p>
    <w:p>
      <w:pPr>
        <w:jc w:val="left"/>
      </w:pPr>
      <w:r>
        <w:t>Mandat: Dr. Carlsten Pellbach-Eisenacher</w:t>
      </w:r>
    </w:p>
    <w:p>
      <w:pPr>
        <w:jc w:val="left"/>
      </w:pPr>
      <w:r>
        <w:t>Az. StA: 122 Js 884/25 / Az. AG: 502 Gs 4881/26 / vorauss. Az. LG: 117 KLs 14/26</w:t>
      </w:r>
    </w:p>
    <w:p>
      <w:pPr>
        <w:jc w:val="left"/>
      </w:pPr>
      <w:r>
        <w:t>Stand: 30.05.2026</w:t>
      </w:r>
    </w:p>
    <w:p/>
    <w:p>
      <w:pPr>
        <w:pStyle w:val="Heading2"/>
      </w:pPr>
      <w:r>
        <w:rPr>
          <w:rFonts w:ascii="Times New Roman" w:hAnsi="Times New Roman"/>
        </w:rPr>
        <w:t>I. Hauptakte (9 Bänder)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Bl.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Wichtige Stücke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Strafanzeige Insolvenzverwalter, Anlagen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1–124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Strafanzeige Wagner-Hieronymi 28.10.2025 (Bl. 1–28); Insolvenzantrag vom 09.03.2025 (Bl. 38–72); Liquiditätstabellen (Bl. 74–119)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Strafanzeige Quasthoff, Anlagen, ergänzende Hinweise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125–248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Strafanzeige 12.12.2025 (Bl. 125–142); Spesenkomplex (Bl. 168–209)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III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Vernehmungen / KPI Hartmann / Ermittlungsberichte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249–410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Vernehmung Quasthoff V1 (Bl. 312–354); KPI-Bericht Lager Bottrop (Bl. 360–384); KPI-Bericht Wroclaw-Recherche (Bl. 388–410)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Sachverstaendigengutachten Schönwetter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411–520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Gutachten 19.02.2026 (Bl. 412–488); Anlagen Bilanz / Liquidität (Bl. 489–520)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Vernehmungen StA Phase II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521–760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Quasthoff V2 (Bl. 612–648); Tannekoetter (Bl. 656–688); Engelmeier (Bl. 692–722); Krazenburg (Bl. 730–760)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Anwaltskorrespondenz, § 97 StPO Sperrvermerk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761–1080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Sperrvermerk Vellbruck-Korrespondenz (Bl. 1004); Schriftverkehr Insolvenzverwalter (Bl. 990–1078)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VII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Polnische Rechtshilfe / Wroclaw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1081–1500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EU-Auskunftsersuchen (Bl. 1100); Antwort polnischer Behörden (Bl. 1322); Hinweis Mitarbeiterbeeinflussung Insolvenzverwalter 27.04.2026 (Bl. 1422)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VIII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Steuer / USt-Voranmeldungen / KfW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1501–1820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KfW-Antrag 22.11.2022 (Bl. 1644); USt-Berechnung Strassbroich (Bl. 1722–1788)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IX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Haftunterlagen / Pressemeldungen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1821–2050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Haftbefehl (Bl. 1822); Durchsuchungsprotokolle (Bl. 1832–1898); Pressemeldung StA 13.05.2026 (Bl. 2014)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II. Sonderbände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Sonderband Buchhaltung 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Buchhaltungsausdrucke 2023, ordnerweise sortiert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Sonderband Buchhaltung 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Buchhaltungsausdrucke 2024-Q1 2025, Hauptbuch, Sachkonten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Asservatenverzeichnis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 xml:space="preserve">A-1 bis A-13 (Privat) / B-1 bis B-8 (Geschäft) / C-1 (Bottrop, Markenware) / D-1 (Bottrop, LKWs) / E-1 bis E-4 (Stuttgart) — siehe </w:t>
            </w:r>
            <w:r>
              <w:rPr>
                <w:rFonts w:ascii="Times New Roman" w:hAnsi="Times New Roman"/>
                <w:sz w:val="20"/>
              </w:rPr>
              <w:t>03_durchsuchungsbeschluss_und_protokoll.md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III. Verteidiger-eigene Mappen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Mappe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M-1 Mandatsdaten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Vollmacht, Honorarvereinbarung, Mandantenstammdaten, Kontaktdaten Familie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M-2 Aussagepsychologie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Vernehmungsmitschriften Quasthoff V1/V2, Strukturanalyse, Anfrage Prof. Dr. Hennenkort (Sachverstaendigenkanzlei Aussagepsychologie Bonn)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M-3 Schutzschrift + Schriftsatzdrucke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Entwurf Schutzschrift, Haftprüfungsantrag, Haftbeschwerde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M-4 Wirtschaftsgutachten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Bestellung Privatgutachten Insolvenzreife (Prof. Dr. Linthorst-Behrenfels, Heidelberg)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M-5 Steuerstrafrecht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Korrespondenz Engelmeier, Pruefung § 371 AO, Berechnung Verkuerzungsschaden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M-6 Wroclaw / Konzern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Verträge, Lizenzgebühren-Modelle, Beratervertrag Kowalczyk-Mlocki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M-7 Pressemappe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Presseanfragen, Kanzleistellungnahmen, Family Brief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M-8 Strategiepapiere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Best/Worst-Case-Memos, Verstaendigungs-Memo, Plädoyer-Skizzen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IV. Vermerk Zugriffsrechte</w:t>
      </w:r>
    </w:p>
    <w:p>
      <w:pPr>
        <w:pStyle w:val="ListBullet"/>
      </w:pPr>
      <w:r>
        <w:t>Voller Zugriff: Dr. Vellbruck, RA Knehrkamp</w:t>
      </w:r>
    </w:p>
    <w:p>
      <w:pPr>
        <w:pStyle w:val="ListBullet"/>
      </w:pPr>
      <w:r>
        <w:t>Beschränkter Zugriff: ReFa Anna Heidersbach-Wenke (Sekretariat, ohne M-2 / M-8)</w:t>
      </w:r>
    </w:p>
    <w:p>
      <w:pPr>
        <w:pStyle w:val="ListBullet"/>
      </w:pPr>
      <w:r>
        <w:t>Mandant: M-3, M-7 vor Versand. M-2 nur eingeschränkt (siehe Hennenkort-Vorgespräch).</w:t>
      </w:r>
    </w:p>
    <w:p>
      <w:pPr>
        <w:pStyle w:val="ListBullet"/>
      </w:pPr>
      <w:r>
        <w:t>Familie Pellbach: M-7 (Pressemappe) nach Freigabe.</w:t>
      </w:r>
    </w:p>
    <w:p/>
    <w:p>
      <w:pPr>
        <w:pStyle w:val="Heading2"/>
      </w:pPr>
      <w:r>
        <w:rPr>
          <w:rFonts w:ascii="Times New Roman" w:hAnsi="Times New Roman"/>
        </w:rPr>
        <w:t>V. Verfahrensaktenverlauf (Verteidiger-Sicht)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Eingang / Ausgang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Akteneinsichtsantrag § 147 StPO an StA Koeln (Vellbruck)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siehe eml/05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 gewährt Akteneinsicht in Bände I-V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Bd. VI in Pruefung (Anwaltsgeheimnis-Komplex)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23.05.2026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 gewährt Akteneinsicht Bd. VI bis VIII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Vermerk: Bd. VI ohne Bl. 990–1004 (Sperrvermerk)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27.05.2026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 übersendet Anklageschrift-Entwurf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als Vorab zum Verständigungsvorgespräch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Vellbruck legt Schriftsatz zur Akteneinsicht Bd. IX nach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Eingangs-Stempel StA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Bd. IX vollständig erhalten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Vollständigkeit erklärt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VI. Beweismittelliste Verteidigung (Prüfstand)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Beweismittel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V-1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Gegengutachten Insolvenzreife (Prof. Dr. Linthorst-Behrenfels)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Beauftragt 22.05.2026; Lieferung erwartet 30.07.2026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V-2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Aussagepsychologisches SV-Gutachten Glaubhaftigkeit Quasthoff (Prof. Dr. Hennenkort)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Beauftragt 28.05.2026; Lieferung erwartet 15.08.2026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V-3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Liquiditätsplanungen Pellbach Januar / Februar 2025 (intern)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Vorhanden in Sonderband Buchhaltung 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V-4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Warnschreiben Steuerberater Engelmeier vom 18.12.2024 (zur Frage Beraterverschulden vs. Kenntnis Mandant)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siehe eml/03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V-5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Schriftverkehr Pellbach &lt;-&gt; Quasthoff zur Mahnung (Falschbelastungsmotiv)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siehe eml/01, eml/02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V-6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Konzernvertrag Pellbach Koeln &lt;-&gt; Pellbach Polska 2022/2023 (zur Frage „Verheimlichen")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M-6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V-7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Zeugen entlastend: Björn Tannekoetter (Lager Bottrop war reguliere Verbringung an Wroclaw)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Vernehmung beantragt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V-8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Zeugin entlastend: Frau Pellbach-Eisenacher (Ehefrau, Mitgesellschafterin)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52 StPO Belehrung erforderlich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V-9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Bilanztechnische Privatgutachten zur Frage § 266 StGB-Schadens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Beauftragt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V-10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Branchenvergleich Umsatzentwicklung Spedition 2019-2022 (Statistisches Bundesamt)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Recherche im Gange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Az.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Az. AG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 · Az. StA: 122 Js 884/25 / Az. AG: 502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