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09 — Haftprüfungsantrag § 117 StPO und Haftbeschwerde § 304 StPO</w:t>
      </w:r>
    </w:p>
    <w:p>
      <w:pPr>
        <w:jc w:val="left"/>
      </w:pPr>
      <w:r>
        <w:rPr>
          <w:b/>
        </w:rPr>
        <w:t>Vellbruck Strafverteidigung Koeln</w:t>
      </w:r>
    </w:p>
    <w:p>
      <w:pPr>
        <w:jc w:val="left"/>
      </w:pPr>
      <w:r>
        <w:rPr>
          <w:b/>
        </w:rPr>
        <w:t>An das Amtsgericht Koeln, Ermittlungsrichter</w:t>
      </w:r>
      <w:r>
        <w:t xml:space="preserve"> (Haftprüfungsantrag) — Az. 502 Gs 4881/26</w:t>
      </w:r>
    </w:p>
    <w:p>
      <w:pPr>
        <w:jc w:val="left"/>
      </w:pPr>
      <w:r>
        <w:rPr>
          <w:b/>
        </w:rPr>
        <w:t>An das Landgericht Koeln, Strafkammer</w:t>
      </w:r>
      <w:r>
        <w:t xml:space="preserve"> (Haftbeschwerde) — Vorzulegen via AG</w:t>
      </w:r>
    </w:p>
    <w:p>
      <w:pPr>
        <w:jc w:val="left"/>
      </w:pPr>
      <w:r>
        <w:t>Datum: 22. Mai 2026</w:t>
      </w:r>
    </w:p>
    <w:p>
      <w:pPr>
        <w:jc w:val="left"/>
      </w:pPr>
      <w:r>
        <w:t>In dem Ermittlungsverfahren gegen Dr. Carlsten Pellbach-Eisenacher</w:t>
      </w:r>
    </w:p>
    <w:p>
      <w:pPr>
        <w:jc w:val="left"/>
      </w:pPr>
      <w:r>
        <w:t>Az. StA: 122 Js 884/25</w:t>
      </w:r>
    </w:p>
    <w:p/>
    <w:p>
      <w:pPr>
        <w:pStyle w:val="Heading2"/>
      </w:pPr>
      <w:r>
        <w:rPr>
          <w:rFonts w:ascii="Times New Roman" w:hAnsi="Times New Roman"/>
        </w:rPr>
        <w:t>A. Haftprüfungsantrag (§ 117 StPO)</w:t>
      </w:r>
    </w:p>
    <w:p>
      <w:pPr>
        <w:pStyle w:val="Heading3"/>
      </w:pPr>
      <w:r>
        <w:rPr>
          <w:rFonts w:ascii="Times New Roman" w:hAnsi="Times New Roman"/>
        </w:rPr>
        <w:t>I. Antrag</w:t>
      </w:r>
    </w:p>
    <w:p>
      <w:pPr>
        <w:jc w:val="left"/>
      </w:pPr>
      <w:r>
        <w:t>In dem oben bezeichneten Verfahren beantrage ich namens und in Vollmacht des Beschuldigten,</w:t>
      </w:r>
    </w:p>
    <w:p>
      <w:pPr>
        <w:pStyle w:val="ListNumber"/>
      </w:pPr>
      <w:r>
        <w:t>den Haftbefehl des Amtsgerichts Koeln vom 12.05.2026 (502 Gs 4881/26) aufzuheben,</w:t>
      </w:r>
    </w:p>
    <w:p>
      <w:pPr>
        <w:pStyle w:val="ListNumber"/>
      </w:pPr>
      <w:r>
        <w:rPr>
          <w:b/>
        </w:rPr>
        <w:t>hilfsweise</w:t>
      </w:r>
      <w:r>
        <w:t xml:space="preserve"> den Vollzug des Haftbefehls gemäß § 116 Abs. 1 Nr. 1, 2 StPO auszusetzen unter folgenden Auflagen:</w:t>
      </w:r>
    </w:p>
    <w:p>
      <w:pPr>
        <w:jc w:val="left"/>
      </w:pPr>
      <w:r>
        <w:t>a) regelmaessige Meldung bei einer Dienststelle der Polizei (zweimal wöchentlich),</w:t>
      </w:r>
    </w:p>
    <w:p>
      <w:pPr>
        <w:jc w:val="left"/>
      </w:pPr>
      <w:r>
        <w:t>b) Hinterlegung des Reisepasses (bereits erfolgt durch Sicherstellung am 12.05.2026),</w:t>
      </w:r>
    </w:p>
    <w:p>
      <w:pPr>
        <w:jc w:val="left"/>
      </w:pPr>
      <w:r>
        <w:t>c) Verbot, den Bereich des Landes Nordrhein-Westfalen ohne Genehmigung zu verlassen,</w:t>
      </w:r>
    </w:p>
    <w:p>
      <w:pPr>
        <w:jc w:val="left"/>
      </w:pPr>
      <w:r>
        <w:t>d) Hinterlegung einer Sicherheit von 250.000 EUR durch Frau Frieda Pellbach-Eisenacher (Ehefrau),</w:t>
      </w:r>
    </w:p>
    <w:p>
      <w:pPr>
        <w:jc w:val="left"/>
      </w:pPr>
      <w:r>
        <w:t>e) Verbot des Kontakts mit der Zeugin Mira Quasthoff und mit Mitarbeitern der Wroclaw-Tochter.</w:t>
      </w:r>
    </w:p>
    <w:p>
      <w:pPr>
        <w:pStyle w:val="ListNumber"/>
      </w:pPr>
      <w:r>
        <w:t>Termin zur mündlichen Verhandlung gemäß § 118 Abs. 1 StPO anzuberaumen.</w:t>
      </w:r>
    </w:p>
    <w:p>
      <w:pPr>
        <w:pStyle w:val="Heading3"/>
      </w:pPr>
      <w:r>
        <w:rPr>
          <w:rFonts w:ascii="Times New Roman" w:hAnsi="Times New Roman"/>
        </w:rPr>
        <w:t>II. Begründung</w:t>
      </w:r>
    </w:p>
    <w:p>
      <w:pPr>
        <w:pStyle w:val="Heading3"/>
      </w:pPr>
      <w:r>
        <w:rPr>
          <w:rFonts w:ascii="Times New Roman" w:hAnsi="Times New Roman"/>
        </w:rPr>
        <w:t>1. Kein dringender Tatverdacht hinsichtlich sämtlicher Komplexe</w:t>
      </w:r>
    </w:p>
    <w:p>
      <w:pPr>
        <w:jc w:val="left"/>
      </w:pPr>
      <w:r>
        <w:t>Der Haftbefehl umfasst sieben Tatkomplexe, von denen jedenfalls die Komplexe 1 (Insolvenzverschleppung), 6 (Subventionsbetrug) und 7 (Geldwaesche) nicht den im Haftrecht erforderlichen Grad des dringenden Tatverdachts erreichen.</w:t>
      </w:r>
    </w:p>
    <w:p>
      <w:pPr>
        <w:pStyle w:val="Heading3"/>
      </w:pPr>
      <w:r>
        <w:rPr>
          <w:rFonts w:ascii="Times New Roman" w:hAnsi="Times New Roman"/>
        </w:rPr>
        <w:t>a) Insolvenzverschleppung (§ 15a InsO)</w:t>
      </w:r>
    </w:p>
    <w:p>
      <w:pPr>
        <w:jc w:val="left"/>
      </w:pPr>
      <w:r>
        <w:t xml:space="preserve">Der Haftbefehl stützt sich vollständig auf das Sachverstaendigengutachten Dr. Schönwetter, das Zahlungsunfähigkeit zum 12.01.2025 annimmt. Tatsächlich war zu diesem Zeitpunkt lediglich </w:t>
      </w:r>
      <w:r>
        <w:rPr>
          <w:b/>
        </w:rPr>
        <w:t>drohende Zahlungsunfähigkeit</w:t>
      </w:r>
      <w:r>
        <w:t xml:space="preserve"> im Sinne des § 18 InsO gegeben (keine Antragspflicht!). Eine Liquiditätsplanung vom 08.01.2025 (Anlage 1) weist zwar einen kurzfristigen Engpass aus, jedoch keine vollständige Zahlungsunfähigkeit; sämtliche fälligen Verbindlichkeiten waren überwiegend gedeckt. Die Zahlungsfähigkeit blieb bis 31.01.2025 durch Sanierungsverhandlungen mit der Volksbank Rhein-Berg erhalten (Sanierungs-Term-Sheet vom 18.12.2024, Anlage 2). Der Eigenantrag erfolgte am 09.03.2025 und damit innerhalb einer aus Verteidigersicht angemessenen Reaktionszeit ab dem Zeitpunkt, an dem die tatsächliche Zahlungsunfähigkeit eingetreten ist.</w:t>
      </w:r>
    </w:p>
    <w:p>
      <w:pPr>
        <w:jc w:val="left"/>
      </w:pPr>
      <w:r>
        <w:t>Ein Gegengutachten von Prof. Dr. Linthorst-Behrenfels (Heidelberg) ist beauftragt; Lieferung wird zum 30.07.2026 erwartet. Die Anklage stützt sich daher auf ein im Verfahren bestrittenes Sachverstaendigengutachten — der dringende Tatverdacht ist insoweit erschüttert.</w:t>
      </w:r>
    </w:p>
    <w:p>
      <w:pPr>
        <w:pStyle w:val="Heading3"/>
      </w:pPr>
      <w:r>
        <w:rPr>
          <w:rFonts w:ascii="Times New Roman" w:hAnsi="Times New Roman"/>
        </w:rPr>
        <w:t>b) Subventionsbetrug § 264 StGB (Komplex 6)</w:t>
      </w:r>
    </w:p>
    <w:p>
      <w:pPr>
        <w:jc w:val="left"/>
      </w:pPr>
      <w:r>
        <w:t>Die Umsatzangaben im KfW-Antrag wurden im November 2022 auf Basis von Quartalshochrechnungen erstellt. Die Differenz zwischen tatsächlichem Umsatzrückgang (ca. 12 %) und im Antrag genanntem (ca. 38 %) erklärt sich teilweise dadurch, dass im Q4/2019 ein einmaliger Grosskunde (Werkstoff Mehrwald) Sonderumsätze brachte, die in der Antragslogik nicht berücksichtigt waren. Der Antrag enthält damit keine bewusst falsche Angabe, sondern eine umstrittene Vergleichsbasis. Subventionserheblichkeit der streitigen Angaben (§ 264 Abs. 9 StGB) ist im Detail zu prüfen; im Haftbefehlsverfahren reicht das nicht für dringenden Tatverdacht.</w:t>
      </w:r>
    </w:p>
    <w:p>
      <w:pPr>
        <w:pStyle w:val="Heading3"/>
      </w:pPr>
      <w:r>
        <w:rPr>
          <w:rFonts w:ascii="Times New Roman" w:hAnsi="Times New Roman"/>
        </w:rPr>
        <w:t>c) Geldwaesche § 261 StGB (Komplex 7)</w:t>
      </w:r>
    </w:p>
    <w:p>
      <w:pPr>
        <w:jc w:val="left"/>
      </w:pPr>
      <w:r>
        <w:t>Vortat-Konstruktion ist zirkulär: Wenn die Komplexe 2 und 3 fallen (was wir bei objektiver Pruefung erwarten), fällt auch Komplex 7. Die Wroclaw-Zahlung vom 17.01.2025 ist betraglich (120.000 EUR) im Rahmen typischer Konzernfinanzflüsse; eine "Verschleierungstathandlung" iSd § 261 Abs. 1 StGB n.F. ist auch nicht ersichtlich, da die Zahlung gerade über das offizielle Konzern-Cash-Management lief und damit aktenkundig war. Die spätere Weiterleitung an einen polnischen Berater erfolgte aus der polnischen Tochter; der Beschuldigte hatte hierauf keinen direkten Einfluss.</w:t>
      </w:r>
    </w:p>
    <w:p>
      <w:pPr>
        <w:pStyle w:val="Heading3"/>
      </w:pPr>
      <w:r>
        <w:rPr>
          <w:rFonts w:ascii="Times New Roman" w:hAnsi="Times New Roman"/>
        </w:rPr>
        <w:t>2. Keine Fluchtgefahr (§ 112 Abs. 2 Nr. 2 StPO)</w:t>
      </w:r>
    </w:p>
    <w:p>
      <w:pPr>
        <w:jc w:val="left"/>
      </w:pPr>
      <w:r>
        <w:t xml:space="preserve">Der Beschuldigte hat unbestrittenes Privatvermögen, jedoch ist dieses </w:t>
      </w:r>
      <w:r>
        <w:rPr>
          <w:b/>
        </w:rPr>
        <w:t>gebunden</w:t>
      </w:r>
      <w:r>
        <w:t>:</w:t>
      </w:r>
    </w:p>
    <w:p>
      <w:pPr>
        <w:pStyle w:val="ListBullet"/>
      </w:pPr>
      <w:r>
        <w:t>Immobilie Sankt-Vither Strasse 41 — Familienwohnsitz, Eigentum hauptsächlich Ehefrau (zu 75 %, vgl. Auszug Grundbuch).</w:t>
      </w:r>
    </w:p>
    <w:p>
      <w:pPr>
        <w:pStyle w:val="ListBullet"/>
      </w:pPr>
      <w:r>
        <w:t>Depots ca. 340.000 EUR — gepfändet seit 13.05.2026 (Vermögensarrest StA).</w:t>
      </w:r>
    </w:p>
    <w:p>
      <w:pPr>
        <w:pStyle w:val="ListBullet"/>
      </w:pPr>
      <w:r>
        <w:t>Auslandsvermögen: keine substantiellen Bestände. Wroclaw-Tochter ist von Insolvenzverwalter (parallel) geführt.</w:t>
      </w:r>
    </w:p>
    <w:p>
      <w:pPr>
        <w:jc w:val="left"/>
      </w:pPr>
      <w:r>
        <w:t>Hinzu kommt:</w:t>
      </w:r>
    </w:p>
    <w:p>
      <w:pPr>
        <w:pStyle w:val="ListBullet"/>
      </w:pPr>
      <w:r>
        <w:t xml:space="preserve">Der Beschuldigte ist </w:t>
      </w:r>
      <w:r>
        <w:rPr>
          <w:b/>
        </w:rPr>
        <w:t>schwer krank</w:t>
      </w:r>
      <w:r>
        <w:t xml:space="preserve"> (Bluthochdruck, Diabetes II mit Insulin, Herzkatheter 2023) und auf regelmaessige ärztliche Betreuung in Koeln angewiesen.</w:t>
      </w:r>
    </w:p>
    <w:p>
      <w:pPr>
        <w:pStyle w:val="ListBullet"/>
      </w:pPr>
      <w:r>
        <w:t>Familienbindung: Ehefrau, zwei Kinder (16 / 19, beide in Kölner Schulen / Studium).</w:t>
      </w:r>
    </w:p>
    <w:p>
      <w:pPr>
        <w:pStyle w:val="ListBullet"/>
      </w:pPr>
      <w:r>
        <w:t>Sozialer Hintergrund: Der Beschuldigte ist seit Geburt in Koeln verwurzelt; engste soziale Bezüge im Rheinland.</w:t>
      </w:r>
    </w:p>
    <w:p>
      <w:pPr>
        <w:jc w:val="left"/>
      </w:pPr>
      <w:r>
        <w:t xml:space="preserve">Die zu erwartende Strafe ist </w:t>
      </w:r>
      <w:r>
        <w:rPr>
          <w:b/>
        </w:rPr>
        <w:t>nicht</w:t>
      </w:r>
      <w:r>
        <w:t xml:space="preserve"> ein Selbstläufer-Indiz für Fluchtgefahr: Bei substantiierter Verteidigung ist eine Gesamtstrafe von unter 4 Jahren nicht ausgeschlossen; eine teilweise Bewährung ggf. möglich. Vgl. § 112 Abs. 2 Nr. 2 StPO, der eine </w:t>
      </w:r>
      <w:r>
        <w:rPr>
          <w:b/>
        </w:rPr>
        <w:t>Gesamtbetrachtung</w:t>
      </w:r>
      <w:r>
        <w:t xml:space="preserve"> verlangt; hohe Straferwartung allein reicht nicht (st. Rspr.).</w:t>
      </w:r>
    </w:p>
    <w:p>
      <w:pPr>
        <w:jc w:val="left"/>
      </w:pPr>
      <w:r>
        <w:t>Im Übrigen: Die Sicherheit von 250.000 EUR (Ehefrau bereit) plus Reisepass-Hinterlegung neutralisiert eine etwaige Fluchtgefahr.</w:t>
      </w:r>
    </w:p>
    <w:p>
      <w:pPr>
        <w:pStyle w:val="Heading3"/>
      </w:pPr>
      <w:r>
        <w:rPr>
          <w:rFonts w:ascii="Times New Roman" w:hAnsi="Times New Roman"/>
        </w:rPr>
        <w:t>3. Keine Verdunkelungsgefahr (§ 112 Abs. 2 Nr. 3 StPO)</w:t>
      </w:r>
    </w:p>
    <w:p>
      <w:pPr>
        <w:jc w:val="left"/>
      </w:pPr>
      <w:r>
        <w:t>Der Haftbefehl behauptet, der Beschuldigte könne Mitarbeiter und insbesondere die Zeugin Quasthoff sowie Wroclaw-Mitarbeiter beeinflussen. Diese Behauptung wird mit Verweis auf einen Brief des Insolvenzverwalters vom 27.04.2026 (Bd. VII, Bl. 1422) untermauert. Dieser Brief enthält jedoch lediglich die Aussage, ein Wroclaw-Mitarbeiter habe sich gegenüber dem Insolvenzverwalter zurückhaltend gezeigt — kein konkreter Hinweis auf Einflussnahme durch den Beschuldigten.</w:t>
      </w:r>
    </w:p>
    <w:p>
      <w:pPr>
        <w:jc w:val="left"/>
      </w:pPr>
      <w:r>
        <w:t>Die zentrale Belastungszeugin Quasthoff ist seit Februar 2025 nicht mehr im Unternehmen tätig und arbeitet bei einem anderen Unternehmen (Spedition Werwein-Frers). Eine "Beeinflussbarkeit" ist auch dadurch erschwert, dass ihre Aussagen schon protokolliert sind (V1 18.03.2026, V2 14.04.2026). Eine Kontaktauflage (vorgeschlagen) genügt vollumfaenglich.</w:t>
      </w:r>
    </w:p>
    <w:p>
      <w:pPr>
        <w:jc w:val="left"/>
      </w:pPr>
      <w:r>
        <w:t>Hinsichtlich Wroclaw-Mitarbeitern: Die polnische Gesellschaft wird wie ausgeführt parallel insolvent geführt; Mitarbeiter stehen unter Kontrolle des polnischen Insolvenzverwalters.</w:t>
      </w:r>
    </w:p>
    <w:p>
      <w:pPr>
        <w:pStyle w:val="Heading3"/>
      </w:pPr>
      <w:r>
        <w:rPr>
          <w:rFonts w:ascii="Times New Roman" w:hAnsi="Times New Roman"/>
        </w:rPr>
        <w:t>4. Verhaeltnismaessigkeit</w:t>
      </w:r>
    </w:p>
    <w:p>
      <w:pPr>
        <w:jc w:val="left"/>
      </w:pPr>
      <w:r>
        <w:t>Die Untersuchungshaft greift erheblich in die Grundrechte des Beschuldigten ein, insbesondere weil:</w:t>
      </w:r>
    </w:p>
    <w:p>
      <w:pPr>
        <w:pStyle w:val="ListBullet"/>
      </w:pPr>
      <w:r>
        <w:t>die Anklage noch nicht erhoben ist (Vor-Eröffnung),</w:t>
      </w:r>
    </w:p>
    <w:p>
      <w:pPr>
        <w:pStyle w:val="ListBullet"/>
      </w:pPr>
      <w:r>
        <w:t>der Beschuldigte schwere chronische Erkrankungen hat,</w:t>
      </w:r>
    </w:p>
    <w:p>
      <w:pPr>
        <w:pStyle w:val="ListBullet"/>
      </w:pPr>
      <w:r>
        <w:t>die Familie wirtschaftlich abhängig von Aussetzung des Vollzugs ist.</w:t>
      </w:r>
    </w:p>
    <w:p>
      <w:pPr>
        <w:jc w:val="left"/>
      </w:pPr>
      <w:r>
        <w:t>Mildere Mittel iSd § 116 StPO sind verfügbar (siehe Antrag oben). § 116 StPO ist daher zwingend vorzuziehen.</w:t>
      </w:r>
    </w:p>
    <w:p>
      <w:pPr>
        <w:pStyle w:val="Heading3"/>
      </w:pPr>
      <w:r>
        <w:rPr>
          <w:rFonts w:ascii="Times New Roman" w:hAnsi="Times New Roman"/>
        </w:rPr>
        <w:t>III. Beweisanerbieten</w:t>
      </w:r>
    </w:p>
    <w:p>
      <w:pPr>
        <w:pStyle w:val="ListBullet"/>
      </w:pPr>
      <w:r>
        <w:t>Sanierungs-Term-Sheet Volksbank Rhein-Berg vom 18.12.2024 (Anlage 2)</w:t>
      </w:r>
    </w:p>
    <w:p>
      <w:pPr>
        <w:pStyle w:val="ListBullet"/>
      </w:pPr>
      <w:r>
        <w:t>Liquiditätsplanung Pellbach Logistik 08.01.2025 (Anlage 1)</w:t>
      </w:r>
    </w:p>
    <w:p>
      <w:pPr>
        <w:pStyle w:val="ListBullet"/>
      </w:pPr>
      <w:r>
        <w:t>Ärztliche Bescheinigung Dr. med. Hellbrueck-Westkamp vom 16.05.2026 (Anlage 3)</w:t>
      </w:r>
    </w:p>
    <w:p>
      <w:pPr>
        <w:pStyle w:val="ListBullet"/>
      </w:pPr>
      <w:r>
        <w:t>Erklärung Frau Pellbach-Eisenacher zur Kautionsbereitschaft (Anlage 4)</w:t>
      </w:r>
    </w:p>
    <w:p>
      <w:pPr>
        <w:pStyle w:val="ListBullet"/>
      </w:pPr>
      <w:r>
        <w:t>Vermögensaufstellung des Beschuldigten (Anlage 5)</w:t>
      </w:r>
    </w:p>
    <w:p/>
    <w:p>
      <w:pPr>
        <w:pStyle w:val="Heading2"/>
      </w:pPr>
      <w:r>
        <w:rPr>
          <w:rFonts w:ascii="Times New Roman" w:hAnsi="Times New Roman"/>
        </w:rPr>
        <w:t>B. Hilfsweise Haftbeschwerde (§ 304 StPO)</w:t>
      </w:r>
    </w:p>
    <w:p>
      <w:pPr>
        <w:jc w:val="left"/>
      </w:pPr>
      <w:r>
        <w:t>Sollte das AG Koeln dem Antrag nicht stattgeben, lege ich namens und in Vollmacht des Beschuldigten gegen den Haftbefehl vom 12.05.2026</w:t>
      </w:r>
    </w:p>
    <w:p>
      <w:pPr>
        <w:jc w:val="left"/>
      </w:pPr>
      <w:r>
        <w:rPr>
          <w:b/>
        </w:rPr>
        <w:t>Beschwerde</w:t>
      </w:r>
      <w:r>
        <w:t xml:space="preserve"> ein</w:t>
      </w:r>
    </w:p>
    <w:p>
      <w:pPr>
        <w:jc w:val="left"/>
      </w:pPr>
      <w:r>
        <w:t>und beantrage, das LG Koeln möge den Haftbefehl aufheben oder hilfsweise den Vollzug gemäß § 116 StPO aussetzen.</w:t>
      </w:r>
    </w:p>
    <w:p>
      <w:pPr>
        <w:jc w:val="left"/>
      </w:pPr>
      <w:r>
        <w:t>Zur Begründung wird auf Teil A verwiesen, ergänzt um folgende Beschwerdepunkte:</w:t>
      </w:r>
    </w:p>
    <w:p>
      <w:pPr>
        <w:pStyle w:val="ListNumber"/>
      </w:pPr>
      <w:r>
        <w:rPr>
          <w:b/>
        </w:rPr>
        <w:t>Aktenwidrige Behauptung Verdunkelungsgefahr.</w:t>
      </w:r>
      <w:r>
        <w:t xml:space="preserve"> Der Insolvenzverwalterbrief 27.04.2026 ist als Begründung ungeeignet. Eine andere konkrete Tatsachenbasis liegt nicht vor. § 112 Abs. 2 Nr. 3 StPO verlangt </w:t>
      </w:r>
      <w:r>
        <w:rPr>
          <w:b/>
        </w:rPr>
        <w:t>konkrete Tatsachen</w:t>
      </w:r>
      <w:r>
        <w:t>, nicht abstrakte Gefahr.</w:t>
      </w:r>
    </w:p>
    <w:p>
      <w:pPr>
        <w:pStyle w:val="ListNumber"/>
      </w:pPr>
      <w:r>
        <w:rPr>
          <w:b/>
        </w:rPr>
        <w:t>Unverhaeltnismaessige Pauschalbegründung Fluchtgefahr.</w:t>
      </w:r>
      <w:r>
        <w:t xml:space="preserve"> Das AG hat fast ausschliesslich mit der Höhe der Straferwartung argumentiert. Dies widerspricht der Rechtsprechung des BVerfG zur Anforderungsstärke bei Fluchtgefahr (st. Rspr. zu Art. 2 Abs. 2 GG, vgl. BVerfG-Linie zu §§ 112 ff. StPO; Verifikation in amtlicher Quelle vor Zitat).</w:t>
      </w:r>
    </w:p>
    <w:p>
      <w:pPr>
        <w:pStyle w:val="ListNumber"/>
      </w:pPr>
      <w:r>
        <w:rPr>
          <w:b/>
        </w:rPr>
        <w:t>Keine Würdigung milderer Mittel.</w:t>
      </w:r>
      <w:r>
        <w:t xml:space="preserve"> Das AG hat die im Vorgespräch der Verteidigung am 12.05.2026 angebotenen Kautions- und Auflagenvorschläge nicht berücksichtigt.</w:t>
      </w:r>
    </w:p>
    <w:p>
      <w:pPr>
        <w:pStyle w:val="ListNumber"/>
      </w:pPr>
      <w:r>
        <w:rPr>
          <w:b/>
        </w:rPr>
        <w:t>Pflichtverteidiger nicht beigeordnet zum Zeitpunkt Haftbefehl.</w:t>
      </w:r>
      <w:r>
        <w:t xml:space="preserve"> Der Antrag auf Pflichtverteidiger-Beiordnung gemäß § 140 Abs. 1 Nr. 4, 5 StPO wurde erst am 13.05.2026 gestellt; im Zeitpunkt der Vorführung (12.05.2026, 13:30 Uhr) lag dem Beschuldigten </w:t>
      </w:r>
      <w:r>
        <w:rPr>
          <w:b/>
        </w:rPr>
        <w:t>kein Verteidiger</w:t>
      </w:r>
      <w:r>
        <w:t xml:space="preserve"> bei Seite. Dies ist eine besondere Schwere des Eingriffs, die haftrechtlich zu berücksichtigen ist.</w:t>
      </w:r>
    </w:p>
    <w:p/>
    <w:p>
      <w:pPr>
        <w:pStyle w:val="Heading2"/>
      </w:pPr>
      <w:r>
        <w:rPr>
          <w:rFonts w:ascii="Times New Roman" w:hAnsi="Times New Roman"/>
        </w:rPr>
        <w:t>C. Sonstiges</w:t>
      </w:r>
    </w:p>
    <w:p>
      <w:pPr>
        <w:jc w:val="left"/>
      </w:pPr>
      <w:r>
        <w:t>Der Beschuldigte hat zur mündlichen Anhörung gemäß § 118 Abs. 1 StPO Stellungnahme angekündigt. Verteidigerin wird teilnehmen.</w:t>
      </w:r>
    </w:p>
    <w:p>
      <w:pPr>
        <w:jc w:val="left"/>
      </w:pPr>
      <w:r>
        <w:t>Mit kollegialen Gruessen</w:t>
      </w:r>
    </w:p>
    <w:p>
      <w:pPr>
        <w:jc w:val="left"/>
      </w:pPr>
      <w:r>
        <w:rPr>
          <w:b/>
        </w:rPr>
        <w:t>Dr. Lia Vellbruck-Eisinger</w:t>
      </w:r>
    </w:p>
    <w:p>
      <w:pPr>
        <w:jc w:val="left"/>
      </w:pPr>
      <w:r>
        <w:t>Fachanwältin für Strafrecht</w:t>
      </w:r>
    </w:p>
    <w:p>
      <w:pPr>
        <w:jc w:val="left"/>
      </w:pPr>
      <w:r>
        <w:t>Vellbruck Strafverteidigung Koeln</w:t>
      </w:r>
    </w:p>
    <w:p>
      <w:pPr>
        <w:jc w:val="left"/>
      </w:pPr>
      <w:r>
        <w:t>Hahnenstrasse 22, 50667 Koeln</w:t>
      </w:r>
    </w:p>
    <w:p>
      <w:pPr>
        <w:jc w:val="left"/>
      </w:pPr>
      <w:r>
        <w:t>Anlagen 1-5</w:t>
      </w:r>
    </w:p>
    <w:p/>
    <w:p>
      <w:pPr>
        <w:pStyle w:val="Heading2"/>
      </w:pPr>
      <w:r>
        <w:rPr>
          <w:rFonts w:ascii="Times New Roman" w:hAnsi="Times New Roman"/>
        </w:rPr>
        <w:t>Vermerk (intern Vellbruck) — Termin Haftprüfung 04.06.2026</w:t>
      </w:r>
    </w:p>
    <w:p>
      <w:pPr>
        <w:jc w:val="left"/>
      </w:pPr>
      <w:r>
        <w:t>Termin: 04.06.2026, 09:30 Uhr, LG Koeln, Saal 248. Vorsitz: VRiLG Dr. Frohnert. Erscheinen geplant: Verteidigerin, Co-Verteidiger Knehrkamp, Beschuldigter mit Vorführung aus JVA. StA: OSchA Schamoni-Wieselburg.</w:t>
      </w:r>
    </w:p>
    <w:p>
      <w:pPr>
        <w:jc w:val="left"/>
      </w:pPr>
      <w:r>
        <w:t>Konkrete Argumentationslinie der Verteidigung im Termin:</w:t>
      </w:r>
    </w:p>
    <w:p>
      <w:pPr>
        <w:pStyle w:val="ListNumber"/>
      </w:pPr>
      <w:r>
        <w:t>Sanierungs-Term-Sheet vorlegen und Schönwetter-Gutachten in Frage stellen.</w:t>
      </w:r>
    </w:p>
    <w:p>
      <w:pPr>
        <w:pStyle w:val="ListNumber"/>
      </w:pPr>
      <w:r>
        <w:t>Ärztliche Bescheinigung in Bezug auf Haftfähigkeit / Behandlungsbedürftigkeit nutzen.</w:t>
      </w:r>
    </w:p>
    <w:p>
      <w:pPr>
        <w:pStyle w:val="ListNumber"/>
      </w:pPr>
      <w:r>
        <w:t>Aussagepsychologie (Inkonsistenzen Quasthoff) als Punkt zum verminderten Tatverdacht in Komplex 2/3 anführen.</w:t>
      </w:r>
    </w:p>
    <w:p>
      <w:pPr>
        <w:pStyle w:val="ListNumber"/>
      </w:pPr>
      <w:r>
        <w:t>Kautionsangebot konkretisieren — Bankbürgschaft Volksbank Rhein-Berg bereits in Vorbereitung.</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Amtsgericht Koeln</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Amtsgericht Koeln</w:t>
    </w:r>
  </w:p>
  <w:p>
    <w:pPr>
      <w:jc w:val="left"/>
      <w:pBdr>
        <w:bottom w:val="single" w:sz="6" w:space="2" w:color="3B3F45"/>
      </w:pBdr>
    </w:pPr>
    <w:r>
      <w:rPr>
        <w:rFonts w:ascii="Times New Roman" w:hAnsi="Times New Roman"/>
        <w:color w:val="6B6B66"/>
        <w:sz w:val="16"/>
      </w:rPr>
      <w:t>Ermittlungsrichter (Haftprüfungsantrag) — Az. 502 Gs 4881/26 · Az. 502 Gs 4881/26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