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Schutzschrift-Entwurf vor Eröffnungsbeschluss (intern)</w:t>
      </w:r>
    </w:p>
    <w:p>
      <w:pPr>
        <w:jc w:val="left"/>
      </w:pPr>
      <w:r>
        <w:rPr>
          <w:b/>
        </w:rPr>
        <w:t>Vellbruck Strafverteidigung Koeln</w:t>
      </w:r>
    </w:p>
    <w:p>
      <w:pPr>
        <w:jc w:val="left"/>
      </w:pPr>
      <w:r>
        <w:rPr>
          <w:b/>
        </w:rPr>
        <w:t>Vertraulich — Entwurf, noch nicht versandt — Stand: 30.05.2026</w:t>
      </w:r>
    </w:p>
    <w:p>
      <w:pPr>
        <w:jc w:val="left"/>
      </w:pPr>
      <w:r>
        <w:t>An: Landgericht Koeln, Wirtschaftsstrafkammer — Vorzulegen via StA</w:t>
      </w:r>
    </w:p>
    <w:p>
      <w:pPr>
        <w:jc w:val="left"/>
      </w:pPr>
      <w:r>
        <w:t>In dem Ermittlungsverfahren gegen Dr. Carlsten Pellbach-Eisenacher</w:t>
      </w:r>
    </w:p>
    <w:p>
      <w:pPr>
        <w:jc w:val="left"/>
      </w:pPr>
      <w:r>
        <w:t>Az. StA: 122 Js 884/25 / Vorauss. Az. LG: 117 KLs 14/26</w:t>
      </w:r>
    </w:p>
    <w:p/>
    <w:p>
      <w:pPr>
        <w:pStyle w:val="Heading2"/>
      </w:pPr>
      <w:r>
        <w:rPr>
          <w:rFonts w:ascii="Times New Roman" w:hAnsi="Times New Roman"/>
        </w:rPr>
        <w:t>I. Einleitung</w:t>
      </w:r>
    </w:p>
    <w:p>
      <w:pPr>
        <w:jc w:val="left"/>
      </w:pPr>
      <w:r>
        <w:t xml:space="preserve">Im Vorgriff auf den anstehenden Eröffnungsbeschluss erlauben wir uns, Ihnen folgende Schutzschrift zu unterbreiten. Die StA Koeln hat einen Anklageschrift-Entwurf vom 27.05.2026 vorgelegt, der die Beschuldigung in </w:t>
      </w:r>
      <w:r>
        <w:rPr>
          <w:b/>
        </w:rPr>
        <w:t>sieben Tatkomplexen</w:t>
      </w:r>
      <w:r>
        <w:t xml:space="preserve"> erhebt. Wir setzen uns mit jedem Komplex auseinander und legen dar, weshalb die Eröffnung des Hauptverfahrens in der vorgeschlagenen Form unverhaeltnismaessig wäre. Hilfsweise legen wir dar, weshalb hinsichtlich einzelner Komplexe das Hauptverfahren nicht zu eröffnen ist.</w:t>
      </w:r>
    </w:p>
    <w:p>
      <w:pPr>
        <w:pStyle w:val="Heading2"/>
      </w:pPr>
      <w:r>
        <w:rPr>
          <w:rFonts w:ascii="Times New Roman" w:hAnsi="Times New Roman"/>
        </w:rPr>
        <w:t>II. Sachverhalt (kurz)</w:t>
      </w:r>
    </w:p>
    <w:p>
      <w:pPr>
        <w:jc w:val="left"/>
      </w:pPr>
      <w:r>
        <w:t>Der Beschuldigte ist 54 Jahre alt, deutscher Staatsangehöriger, geboren in Koeln, verheiratet, zwei Kinder. Geschäftsführer der Pellbach Logistik &amp; Spedition GmbH, die er 2008 als Familienunternehmen gegründet und über 17 Jahre zu einem Unternehmen mit ca. 195 Beschäftigten und vier Standorten entwickelt hat. Vorstrafenfrei. Die wirtschaftliche Krise des Unternehmens begann mit dem Verlust des Grosskunden HelmwerkSued (Februar 2024) und der allgemeinen Kostenexplosion in der Logistikbranche 2023/2024.</w:t>
      </w:r>
    </w:p>
    <w:p>
      <w:pPr>
        <w:pStyle w:val="Heading2"/>
      </w:pPr>
      <w:r>
        <w:rPr>
          <w:rFonts w:ascii="Times New Roman" w:hAnsi="Times New Roman"/>
        </w:rPr>
        <w:t>III. Anspruchsgrundlagenprüfung (in Reihenfolge: § 15a InsO – § 283 – § 266 – § 266a – § 370 AO – § 264 – § 261)</w:t>
      </w:r>
    </w:p>
    <w:p>
      <w:pPr>
        <w:pStyle w:val="Heading3"/>
      </w:pPr>
      <w:r>
        <w:rPr>
          <w:rFonts w:ascii="Times New Roman" w:hAnsi="Times New Roman"/>
        </w:rPr>
        <w:t>1. Insolvenzverschleppung § 15a Abs. 1, Abs. 4 InsO</w:t>
      </w:r>
    </w:p>
    <w:p>
      <w:pPr>
        <w:jc w:val="left"/>
      </w:pPr>
      <w:r>
        <w:rPr>
          <w:b/>
        </w:rPr>
        <w:t>Obersatz:</w:t>
      </w:r>
      <w:r>
        <w:t xml:space="preserve"> Strafbar ist der Geschäftsleiter einer juristischen Person, der bei Vorliegen von Zahlungsunfähigkeit oder Überschuldung nicht binnen drei Wochen Insolvenzantrag stellt.</w:t>
      </w:r>
    </w:p>
    <w:p>
      <w:pPr>
        <w:jc w:val="left"/>
      </w:pPr>
      <w:r>
        <w:rPr>
          <w:b/>
        </w:rPr>
        <w:t>Pruefung:</w:t>
      </w:r>
    </w:p>
    <w:p>
      <w:pPr>
        <w:jc w:val="left"/>
      </w:pPr>
      <w:r>
        <w:t xml:space="preserve">a) </w:t>
      </w:r>
      <w:r>
        <w:rPr>
          <w:b/>
        </w:rPr>
        <w:t>Antragspflicht / Tatzeitraum:</w:t>
      </w:r>
      <w:r>
        <w:t xml:space="preserve"> Die StA behauptet Zahlungsunfähigkeit zum 12.01.2025. Wir bestreiten dies. Nach BGH staend. Rspr. (zum Begriff der Zahlungsunfähigkeit) liegt diese vor, wenn ein Schuldner mehr als 10 % seiner fälligen Verbindlichkeiten über einen Zeitraum von mehr als drei Wochen nicht erfüllen kann. Die Liquiditätsbilanz vom 08.01.2025 weist im Stichmonat Januar 2025 (mit Sanierungsmitteln Volksbank Rhein-Berg) eine Liquiditätsdeckung von ca. 91 % aus — somit liegt am 12.01.2025 keine Zahlungsunfähigkeit, allenfalls </w:t>
      </w:r>
      <w:r>
        <w:rPr>
          <w:b/>
        </w:rPr>
        <w:t>drohende Zahlungsunfähigkeit</w:t>
      </w:r>
      <w:r>
        <w:t xml:space="preserve"> (§ 18 InsO) vor. Drohende Zahlungsunfähigkeit begründet </w:t>
      </w:r>
      <w:r>
        <w:rPr>
          <w:b/>
        </w:rPr>
        <w:t>keine Antragspflicht</w:t>
      </w:r>
      <w:r>
        <w:t xml:space="preserve"> nach § 15a InsO.</w:t>
      </w:r>
    </w:p>
    <w:p>
      <w:pPr>
        <w:jc w:val="left"/>
      </w:pPr>
      <w:r>
        <w:t xml:space="preserve">b) </w:t>
      </w:r>
      <w:r>
        <w:rPr>
          <w:b/>
        </w:rPr>
        <w:t>Subjektiver Tatbestand:</w:t>
      </w:r>
      <w:r>
        <w:t xml:space="preserve"> Auch wenn man Zahlungsunfähigkeit zum 12.01.2025 annähme: Der Beschuldigte hatte zu diesem Zeitpunkt </w:t>
      </w:r>
      <w:r>
        <w:rPr>
          <w:b/>
        </w:rPr>
        <w:t>keine sichere Kenntnis</w:t>
      </w:r>
      <w:r>
        <w:t xml:space="preserve"> davon. Der Steuerberater Engelmeier hatte am 18.12.2024 vor "möglicher Insolvenzreife" gewarnt — also eine Vorhersage, keine Feststellung. Der Beschuldigte verfolgte einen verteidigungsfaehigen Sanierungsplan und kommunizierte regelmaessig mit der Hausbank. Vorsatz hinsichtlich Antragspflichtverletzung ist nicht zu beweisen. Hilfsweise: Fahrlässigkeit § 15a Abs. 5 InsO — Strafrahmen reduziert.</w:t>
      </w:r>
    </w:p>
    <w:p>
      <w:pPr>
        <w:jc w:val="left"/>
      </w:pPr>
      <w:r>
        <w:t xml:space="preserve">c) </w:t>
      </w:r>
      <w:r>
        <w:rPr>
          <w:b/>
        </w:rPr>
        <w:t>Beraterverschulden:</w:t>
      </w:r>
      <w:r>
        <w:t xml:space="preserve"> Engelmeier hat in keiner Beratungsnotiz vom Dezember 2024 oder Januar 2025 zur sofortigen Antragstellung geraten. Vielmehr empfahl er, Sanierungsverhandlungen abzuwarten. Dies entlastet den Beschuldigten erheblich.</w:t>
      </w:r>
    </w:p>
    <w:p>
      <w:pPr>
        <w:jc w:val="left"/>
      </w:pPr>
      <w:r>
        <w:rPr>
          <w:b/>
        </w:rPr>
        <w:t>Ergebnis Komplex 1:</w:t>
      </w:r>
      <w:r>
        <w:t xml:space="preserve"> Verurteilung nur denkbar bei überwältigender Sachverstaendigenbeweisaufnahme. Bei der Vor-Eroeffnungs-Pruefung ist hinreichender Tatverdacht zumindest fragwürdig.</w:t>
      </w:r>
    </w:p>
    <w:p>
      <w:pPr>
        <w:pStyle w:val="Heading3"/>
      </w:pPr>
      <w:r>
        <w:rPr>
          <w:rFonts w:ascii="Times New Roman" w:hAnsi="Times New Roman"/>
        </w:rPr>
        <w:t>2. Bankrott § 283 Abs. 1 Nr. 1, 5, 8 StGB</w:t>
      </w:r>
    </w:p>
    <w:p>
      <w:pPr>
        <w:jc w:val="left"/>
      </w:pPr>
      <w:r>
        <w:rPr>
          <w:b/>
        </w:rPr>
        <w:t>Obersatz:</w:t>
      </w:r>
      <w:r>
        <w:t xml:space="preserve"> § 283 StGB sanktioniert Vermögensverschiebungen in der wirtschaftlichen Krise.</w:t>
      </w:r>
    </w:p>
    <w:p>
      <w:pPr>
        <w:jc w:val="left"/>
      </w:pPr>
      <w:r>
        <w:rPr>
          <w:b/>
        </w:rPr>
        <w:t>Pruefung Nr. 1 (Verheimlichen):</w:t>
      </w:r>
    </w:p>
    <w:p>
      <w:pPr>
        <w:jc w:val="left"/>
      </w:pPr>
      <w:r>
        <w:t>a) Die Verbringung von Markenware vom Lager Bottrop in die Wroclaw-Tochter erfolgte in den letzten 24 Tagen vor Insolvenzantrag. Die StA bewertet dies als "Verheimlichen". Wir bestreiten:</w:t>
      </w:r>
    </w:p>
    <w:p>
      <w:pPr>
        <w:pStyle w:val="ListBullet"/>
      </w:pPr>
      <w:r>
        <w:t xml:space="preserve">Die Verbringung erfolgte über das </w:t>
      </w:r>
      <w:r>
        <w:rPr>
          <w:b/>
        </w:rPr>
        <w:t>offizielle Konzern-Warenwirtschaftssystem</w:t>
      </w:r>
      <w:r>
        <w:t xml:space="preserve"> (SAP-Modul "Cross-Site-Transfer"); Bewegungen waren nachvollziehbar dokumentiert.</w:t>
      </w:r>
    </w:p>
    <w:p>
      <w:pPr>
        <w:pStyle w:val="ListBullet"/>
      </w:pPr>
      <w:r>
        <w:t>Die Verbringung diente der Auftragsbearbeitung der Wroclaw-Tochter, die seinerzeit zwei groessere polnische Aufträge hatte (Kunde Auchan-Polska, Kunde Lidl-Polen Wroclaw); Beweis: Auftragsbestätigungen Wroclaw vom 22.01.2025 (Anlage 6).</w:t>
      </w:r>
    </w:p>
    <w:p>
      <w:pPr>
        <w:pStyle w:val="ListBullet"/>
      </w:pPr>
      <w:r>
        <w:t>Die Bewertung "478.000 EUR" entstammt der Schönwetter-Gutachterannahme; tatsächlich war der Buch-Wert der Bestände 312.000 EUR (Linthorst-Gegengutachten beauftragt).</w:t>
      </w:r>
    </w:p>
    <w:p>
      <w:pPr>
        <w:jc w:val="left"/>
      </w:pPr>
      <w:r>
        <w:rPr>
          <w:b/>
        </w:rPr>
        <w:t>Pruefung Nr. 5 (Buchführung):</w:t>
      </w:r>
    </w:p>
    <w:p>
      <w:pPr>
        <w:jc w:val="left"/>
      </w:pPr>
      <w:r>
        <w:t>a) Die behauptete Unterbrechung 12.02.2025 bis 28.03.2025 ist faktisch falsch. Buchführung wurde durch Tannekoetter (Werksleitung Bottrop, faktische Vertretung) und durch externen Buchhalterservice "Linnemann &amp; Partner" fortgeführt. Eine "Unterbrechung" gab es lediglich an vier Werktagen rund um den Quasthoff-Abgang (24.-27.02.2025).</w:t>
      </w:r>
    </w:p>
    <w:p>
      <w:pPr>
        <w:jc w:val="left"/>
      </w:pPr>
      <w:r>
        <w:t>b) Vorsatz erforderlich; reine Verzögerung erfüllt § 283 Abs. 1 Nr. 5 StGB nicht.</w:t>
      </w:r>
    </w:p>
    <w:p>
      <w:pPr>
        <w:jc w:val="left"/>
      </w:pPr>
      <w:r>
        <w:rPr>
          <w:b/>
        </w:rPr>
        <w:t>Pruefung Nr. 8 (grob wirtschaftswidriges Verhalten / Privatentnahmen):</w:t>
      </w:r>
    </w:p>
    <w:p>
      <w:pPr>
        <w:jc w:val="left"/>
      </w:pPr>
      <w:r>
        <w:t>a) Privatentnahmen 412.000 EUR im Zeitraum 11/2024 bis 02/2025 sind eingeräumt — siehe Einlassung Pellbach.</w:t>
      </w:r>
    </w:p>
    <w:p>
      <w:pPr>
        <w:jc w:val="left"/>
      </w:pPr>
      <w:r>
        <w:t xml:space="preserve">b) Aber: Eine grobe Wirtschaftswidrigkeit setzt voraus, dass das Verhalten </w:t>
      </w:r>
      <w:r>
        <w:rPr>
          <w:b/>
        </w:rPr>
        <w:t>objektiv den Überlebensgrundsätzen</w:t>
      </w:r>
      <w:r>
        <w:t xml:space="preserve"> widerspricht. Hier muss bedacht werden, dass die Entnahmen zu einem Zeitpunkt erfolgten, an dem die Krise nicht offen erkennbar war (insbesondere 11/2024 und 12/2024). Die Entnahmen waren formal als Gesellschafterdarlehen verbucht; eine Tilgung war vorgesehen.</w:t>
      </w:r>
    </w:p>
    <w:p>
      <w:pPr>
        <w:jc w:val="left"/>
      </w:pPr>
      <w:r>
        <w:t xml:space="preserve">c) </w:t>
      </w:r>
      <w:r>
        <w:rPr>
          <w:b/>
        </w:rPr>
        <w:t>Subjektiv</w:t>
      </w:r>
      <w:r>
        <w:t xml:space="preserve"> war dem Beschuldigten nicht klar, dass diese Entnahmen die Krise vertiefen würden — er verstand sie als üblichen Privatzugriff in einem Familienunternehmen.</w:t>
      </w:r>
    </w:p>
    <w:p>
      <w:pPr>
        <w:jc w:val="left"/>
      </w:pPr>
      <w:r>
        <w:rPr>
          <w:b/>
        </w:rPr>
        <w:t>Ergebnis Komplex 2:</w:t>
      </w:r>
      <w:r>
        <w:t xml:space="preserve"> § 283 Abs. 1 Nr. 8 StGB kann tragfähig sein, allerdings im Strafmass deutlich nach unten korrigiert. Nr. 1 (Verheimlichen) ist nicht ausreichend belegt. Nr. 5 (Buchführung) ist nicht tragfähig.</w:t>
      </w:r>
    </w:p>
    <w:p>
      <w:pPr>
        <w:pStyle w:val="Heading3"/>
      </w:pPr>
      <w:r>
        <w:rPr>
          <w:rFonts w:ascii="Times New Roman" w:hAnsi="Times New Roman"/>
        </w:rPr>
        <w:t>3. Untreue § 266 Abs. 1 StGB</w:t>
      </w:r>
    </w:p>
    <w:p>
      <w:pPr>
        <w:jc w:val="left"/>
      </w:pPr>
      <w:r>
        <w:rPr>
          <w:b/>
        </w:rPr>
        <w:t>Obersatz:</w:t>
      </w:r>
      <w:r>
        <w:t xml:space="preserve"> § 266 StGB setzt Verletzung der Vermögensbetreuungspflicht voraus.</w:t>
      </w:r>
    </w:p>
    <w:p>
      <w:pPr>
        <w:jc w:val="left"/>
      </w:pPr>
      <w:r>
        <w:t>a) Der Beschuldigte hatte als GF gemäß §§ 35, 43 GmbHG eine Vermögensbetreuungspflicht gegenüber der GmbH.</w:t>
      </w:r>
    </w:p>
    <w:p>
      <w:pPr>
        <w:jc w:val="left"/>
      </w:pPr>
      <w:r>
        <w:t xml:space="preserve">b) Privatentnahmen sind grundsätzlich </w:t>
      </w:r>
      <w:r>
        <w:rPr>
          <w:b/>
        </w:rPr>
        <w:t>nicht per se</w:t>
      </w:r>
      <w:r>
        <w:t xml:space="preserve"> § 266 StGB-relevant, wenn sie als Gesellschafterdarlehen verbucht sind und Rückzahlung absehbar war. Die Frage ist daher: War zum Zeitpunkt der Entnahmen mit Rückzahlungsbereitschaft / -faehigkeit zu rechnen?</w:t>
      </w:r>
    </w:p>
    <w:p>
      <w:pPr>
        <w:jc w:val="left"/>
      </w:pPr>
      <w:r>
        <w:t>c) Im November und Dezember 2024 war die wirtschaftliche Lage zwar angespannt, aber nicht hoffnungslos — Sanierungsverhandlungen liefen. Eine Rückzahlung war realistisch.</w:t>
      </w:r>
    </w:p>
    <w:p>
      <w:pPr>
        <w:jc w:val="left"/>
      </w:pPr>
      <w:r>
        <w:t>d) Schaden iSd § 266 StGB ist konkret zu beziffern (vgl. BGH staend. Rspr. zur Schadensberechnung; Verifikation in amtlicher Quelle erforderlich). Die StA-Berechnung beruht auf einer Nominalbetrachtung (412.000 EUR weg) ohne Berücksichtigung der Rückzahlungsforderung. Daraus folgt: konkreter Schaden allenfalls reduziert.</w:t>
      </w:r>
    </w:p>
    <w:p>
      <w:pPr>
        <w:jc w:val="left"/>
      </w:pPr>
      <w:r>
        <w:t>e) Tateinheit zu § 283 Nr. 8 StGB: zu prüfen, ob Konsumtion zulässig.</w:t>
      </w:r>
    </w:p>
    <w:p>
      <w:pPr>
        <w:jc w:val="left"/>
      </w:pPr>
      <w:r>
        <w:rPr>
          <w:b/>
        </w:rPr>
        <w:t>Ergebnis Komplex 3:</w:t>
      </w:r>
      <w:r>
        <w:t xml:space="preserve"> Verteidigung bestreitet konkreten Schaden in voller Höhe; § 266 StGB ist allenfalls im Teilbereich tragbar.</w:t>
      </w:r>
    </w:p>
    <w:p>
      <w:pPr>
        <w:pStyle w:val="Heading3"/>
      </w:pPr>
      <w:r>
        <w:rPr>
          <w:rFonts w:ascii="Times New Roman" w:hAnsi="Times New Roman"/>
        </w:rPr>
        <w:t>4. Vorenthalten Arbeitgeberanteile § 266a Abs. 1, Abs. 2 StGB</w:t>
      </w:r>
    </w:p>
    <w:p>
      <w:pPr>
        <w:jc w:val="left"/>
      </w:pPr>
      <w:r>
        <w:rPr>
          <w:b/>
        </w:rPr>
        <w:t>Obersatz:</w:t>
      </w:r>
      <w:r>
        <w:t xml:space="preserve"> § 266a StGB schützt das Beitragsaufkommen der Sozialversicherung.</w:t>
      </w:r>
    </w:p>
    <w:p>
      <w:pPr>
        <w:jc w:val="left"/>
      </w:pPr>
      <w:r>
        <w:t>a) Tatzeitraum 11/2024 bis 02/2025; Volumen 97.300 EUR (Arbeitnehmeranteile) + 89.700 EUR (Arbeitgeberanteile). Die Fälligkeit ist mit dem drittletzten Bankarbeitstag (§ 23 Abs. 1 SGB IV) gegeben.</w:t>
      </w:r>
    </w:p>
    <w:p>
      <w:pPr>
        <w:jc w:val="left"/>
      </w:pPr>
      <w:r>
        <w:t xml:space="preserve">b) Der Beschuldigte räumt </w:t>
      </w:r>
      <w:r>
        <w:rPr>
          <w:b/>
        </w:rPr>
        <w:t>teilweise</w:t>
      </w:r>
      <w:r>
        <w:t xml:space="preserve"> ein: Lohnzahlungen erfolgten nur zu 65-70 %, SV-Abführung war fragmentarisch.</w:t>
      </w:r>
    </w:p>
    <w:p>
      <w:pPr>
        <w:jc w:val="left"/>
      </w:pPr>
      <w:r>
        <w:t xml:space="preserve">c) </w:t>
      </w:r>
      <w:r>
        <w:rPr>
          <w:b/>
        </w:rPr>
        <w:t>Verteidigungsansatz:</w:t>
      </w:r>
      <w:r>
        <w:t xml:space="preserve"> § 266a Abs. 6 StGB erlaubt Strafmilderung bei Schadensbegrenzung — hier nicht greifbar, weil Nachzahlung nicht erfolgte. Hilfsweise: § 46a StGB (Schadenswiedergutmachung) im Strafmass.</w:t>
      </w:r>
    </w:p>
    <w:p>
      <w:pPr>
        <w:jc w:val="left"/>
      </w:pPr>
      <w:r>
        <w:t xml:space="preserve">d) </w:t>
      </w:r>
      <w:r>
        <w:rPr>
          <w:b/>
        </w:rPr>
        <w:t>Erforderliche Differenzierung:</w:t>
      </w:r>
      <w:r>
        <w:t xml:space="preserve"> Bei pari passu-Verteilung im Vorfeld der Insolvenz kann ein Pflichtenkonflikt vorliegen, der § 266a StGB einschränkt (BGH staend. Rspr.; Verifikation in amtlicher Quelle erforderlich). Hier zu prüfen, ob der Beschuldigte SV-Beiträge durch andere zwingende Zahlungen (Löhne, Treibstoff Wroclaw-Konzern) verdrängt sah.</w:t>
      </w:r>
    </w:p>
    <w:p>
      <w:pPr>
        <w:jc w:val="left"/>
      </w:pPr>
      <w:r>
        <w:rPr>
          <w:b/>
        </w:rPr>
        <w:t>Ergebnis Komplex 4:</w:t>
      </w:r>
      <w:r>
        <w:t xml:space="preserve"> Tragfähig, aber Strafmass reduzierbar.</w:t>
      </w:r>
    </w:p>
    <w:p>
      <w:pPr>
        <w:pStyle w:val="Heading3"/>
      </w:pPr>
      <w:r>
        <w:rPr>
          <w:rFonts w:ascii="Times New Roman" w:hAnsi="Times New Roman"/>
        </w:rPr>
        <w:t>5. Steuerhinterziehung § 370 Abs. 1 Nr. 1 AO</w:t>
      </w:r>
    </w:p>
    <w:p>
      <w:pPr>
        <w:jc w:val="left"/>
      </w:pPr>
      <w:r>
        <w:rPr>
          <w:b/>
        </w:rPr>
        <w:t>Obersatz:</w:t>
      </w:r>
      <w:r>
        <w:t xml:space="preserve"> § 370 AO setzt vorsätzliche Verkürzung von Steuern voraus.</w:t>
      </w:r>
    </w:p>
    <w:p>
      <w:pPr>
        <w:jc w:val="left"/>
      </w:pPr>
      <w:r>
        <w:t>a) Tatzeitraum 09/2024 bis 02/2025; Volumen ca. 246.000 EUR USt.</w:t>
      </w:r>
    </w:p>
    <w:p>
      <w:pPr>
        <w:jc w:val="left"/>
      </w:pPr>
      <w:r>
        <w:t>b) Die USt-Voranmeldungen wurden vom Steuerberater Engelmeier erstellt; der Beschuldigte hat sie unterschrieben.</w:t>
      </w:r>
    </w:p>
    <w:p>
      <w:pPr>
        <w:jc w:val="left"/>
      </w:pPr>
      <w:r>
        <w:t xml:space="preserve">c) </w:t>
      </w:r>
      <w:r>
        <w:rPr>
          <w:b/>
        </w:rPr>
        <w:t>Verteidigungsansatz Beraterverschulden:</w:t>
      </w:r>
      <w:r>
        <w:t xml:space="preserve"> Der Beschuldigte konnte sich darauf verlassen, dass Engelmeier die Voranmeldungen korrekt erstellt. Die in V2 erweiterte Aussage Quasthoffs, der Beschuldigte habe ihr aktiv Umsätze "rausnehmen lassen", wird mit Hilfsbeweisantrag aussagepsychologisches Gutachten (Akte 22) bekämpft.</w:t>
      </w:r>
    </w:p>
    <w:p>
      <w:pPr>
        <w:jc w:val="left"/>
      </w:pPr>
      <w:r>
        <w:t>d) § 371 AO Selbstanzeige: Überholt seit Tatentdeckung durch Schönwetter-Gutachten Februar 2026.</w:t>
      </w:r>
    </w:p>
    <w:p>
      <w:pPr>
        <w:jc w:val="left"/>
      </w:pPr>
      <w:r>
        <w:rPr>
          <w:b/>
        </w:rPr>
        <w:t>Ergebnis Komplex 5:</w:t>
      </w:r>
      <w:r>
        <w:t xml:space="preserve"> Tragfähig dem Grunde nach, aber Strafmass zu reduzieren bei Beraterverschulden / V2-Unverlaesslichkeit.</w:t>
      </w:r>
    </w:p>
    <w:p>
      <w:pPr>
        <w:pStyle w:val="Heading3"/>
      </w:pPr>
      <w:r>
        <w:rPr>
          <w:rFonts w:ascii="Times New Roman" w:hAnsi="Times New Roman"/>
        </w:rPr>
        <w:t>6. Subventionsbetrug § 264 Abs. 1 Nr. 1 StGB</w:t>
      </w:r>
    </w:p>
    <w:p>
      <w:pPr>
        <w:jc w:val="left"/>
      </w:pPr>
      <w:r>
        <w:rPr>
          <w:b/>
        </w:rPr>
        <w:t>Obersatz:</w:t>
      </w:r>
      <w:r>
        <w:t xml:space="preserve"> § 264 StGB setzt unrichtige Angaben über </w:t>
      </w:r>
      <w:r>
        <w:rPr>
          <w:b/>
        </w:rPr>
        <w:t>subventionserhebliche</w:t>
      </w:r>
      <w:r>
        <w:t xml:space="preserve"> Tatsachen voraus.</w:t>
      </w:r>
    </w:p>
    <w:p>
      <w:pPr>
        <w:jc w:val="left"/>
      </w:pPr>
      <w:r>
        <w:t>a) Der KfW-Antrag November 2022 wies einen Umsatzrückgang von 38 % aus; tatsächlicher Rückgang lt. späterer Bilanz Q4/2022 ca. 12 %.</w:t>
      </w:r>
    </w:p>
    <w:p>
      <w:pPr>
        <w:jc w:val="left"/>
      </w:pPr>
      <w:r>
        <w:t xml:space="preserve">b) </w:t>
      </w:r>
      <w:r>
        <w:rPr>
          <w:b/>
        </w:rPr>
        <w:t>Aber:</w:t>
      </w:r>
      <w:r>
        <w:t xml:space="preserve"> Subventionserhebliche Tatsachen sind solche, die nach den Förderbedingungen ausdrücklich als entscheidungsrelevant gekennzeichnet sind (§ 264 Abs. 9 StGB). Die KfW-Förderbedingungen Q4/2022 setzten Umsatzrückgang von </w:t>
      </w:r>
      <w:r>
        <w:rPr>
          <w:b/>
        </w:rPr>
        <w:t>mind. 30 %</w:t>
      </w:r>
      <w:r>
        <w:t xml:space="preserve"> voraus; bei einem tatsächlichen Rückgang von 12 % wäre ein Anspruch nicht entstanden. Dies würde § 264 StGB tragen.</w:t>
      </w:r>
    </w:p>
    <w:p>
      <w:pPr>
        <w:jc w:val="left"/>
      </w:pPr>
      <w:r>
        <w:t xml:space="preserve">c) </w:t>
      </w:r>
      <w:r>
        <w:rPr>
          <w:b/>
        </w:rPr>
        <w:t>Verteidigungsansatz:</w:t>
      </w:r>
      <w:r>
        <w:t xml:space="preserve"> Der Vergleichszeitraum Q4/2019 enthielt einmalige Sonderumsätze (Werkstoff Mehrwald) iHv ca. 720.000 EUR, die sachlich aus dem Vergleich herauszurechnen sind. Ohne diese beträgt der Rückgang ca. 32 % — und damit oberhalb der Förderschwelle. Der Antrag war unter dieser bereinigten Logik vertretbar.</w:t>
      </w:r>
    </w:p>
    <w:p>
      <w:pPr>
        <w:jc w:val="left"/>
      </w:pPr>
      <w:r>
        <w:t xml:space="preserve">d) </w:t>
      </w:r>
      <w:r>
        <w:rPr>
          <w:b/>
        </w:rPr>
        <w:t>Subjektiv:</w:t>
      </w:r>
      <w:r>
        <w:t xml:space="preserve"> Der Beschuldigte ging davon aus, eine sachlich bereinigte Darstellung zu liefern, kein bewusstes Falschsignal an die KfW. Vorsatz § 264 StGB ist demnach erschüttert.</w:t>
      </w:r>
    </w:p>
    <w:p>
      <w:pPr>
        <w:jc w:val="left"/>
      </w:pPr>
      <w:r>
        <w:rPr>
          <w:b/>
        </w:rPr>
        <w:t>Ergebnis Komplex 6:</w:t>
      </w:r>
      <w:r>
        <w:t xml:space="preserve"> Tragfähigkeit zweifelhaft — Schwerpunktargument Verteidigung.</w:t>
      </w:r>
    </w:p>
    <w:p>
      <w:pPr>
        <w:pStyle w:val="Heading3"/>
      </w:pPr>
      <w:r>
        <w:rPr>
          <w:rFonts w:ascii="Times New Roman" w:hAnsi="Times New Roman"/>
        </w:rPr>
        <w:t>7. Geldwaesche § 261 StGB</w:t>
      </w:r>
    </w:p>
    <w:p>
      <w:pPr>
        <w:jc w:val="left"/>
      </w:pPr>
      <w:r>
        <w:rPr>
          <w:b/>
        </w:rPr>
        <w:t>Obersatz:</w:t>
      </w:r>
      <w:r>
        <w:t xml:space="preserve"> § 261 StGB n.F. erfordert Vortat aus Katalog § 261 Abs. 1 StGB n.F. (umfasst alle Vorwürfe 1-6, da seit 2021 Geldwäschereform).</w:t>
      </w:r>
    </w:p>
    <w:p>
      <w:pPr>
        <w:jc w:val="left"/>
      </w:pPr>
      <w:r>
        <w:t>a) Die Wroclaw-Zahlung 120.000 EUR am 17.01.2025 ist im Kontext mehrerer Konzernumlagen 2024/2025 keine isolierte Auffälligkeit. Üblicher Beratervertrag mit Kowalczyk-Mlocki existiert seit 2021; Zahlung an ihn aus Wroclaw-Mitteln ist konzernintern übliche Beratervergütung.</w:t>
      </w:r>
    </w:p>
    <w:p>
      <w:pPr>
        <w:jc w:val="left"/>
      </w:pPr>
      <w:r>
        <w:t xml:space="preserve">b) </w:t>
      </w:r>
      <w:r>
        <w:rPr>
          <w:b/>
        </w:rPr>
        <w:t>Vortat-Theorie:</w:t>
      </w:r>
      <w:r>
        <w:t xml:space="preserve"> Selbst wenn man § 283 / § 266 als Vortat akzeptiert: Eine "Verschleierungstathandlung" iSd § 261 Abs. 1 StGB n.F. liegt nicht vor, weil die Zahlungen über das offizielle Konzern-Cash-Management aktenkundig waren.</w:t>
      </w:r>
    </w:p>
    <w:p>
      <w:pPr>
        <w:jc w:val="left"/>
      </w:pPr>
      <w:r>
        <w:t>c) Hilfsweise: § 261 Abs. 1 letzter Halbsatz StGB n.F.: Bei Selbstgeldwäsche durch Vortäter ist die Strafbarkeit besonders begruendungsbeduerftig. Hier ist die Vortat-Konstruktion zirkulär und letztlich keine eigenständige Verschleierungshandlung.</w:t>
      </w:r>
    </w:p>
    <w:p>
      <w:pPr>
        <w:jc w:val="left"/>
      </w:pPr>
      <w:r>
        <w:rPr>
          <w:b/>
        </w:rPr>
        <w:t>Ergebnis Komplex 7:</w:t>
      </w:r>
      <w:r>
        <w:t xml:space="preserve"> Nicht tragfähig. Wir beantragen Nichteröffnung dieses Tatkomplexes.</w:t>
      </w:r>
    </w:p>
    <w:p>
      <w:pPr>
        <w:pStyle w:val="Heading2"/>
      </w:pPr>
      <w:r>
        <w:rPr>
          <w:rFonts w:ascii="Times New Roman" w:hAnsi="Times New Roman"/>
        </w:rPr>
        <w:t>IV. Gesamtbewertung</w:t>
      </w:r>
    </w:p>
    <w:p>
      <w:pPr>
        <w:jc w:val="left"/>
      </w:pPr>
      <w:r>
        <w:t>Wir gehen davon aus, dass eine objektive Pruefung der sieben Komplexe zu folgendem Bild führt: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Komplex</w:t>
            </w:r>
          </w:p>
        </w:tc>
        <w:tc>
          <w:tcPr>
            <w:tcW w:type="dxa" w:w="4536"/>
          </w:tcPr>
          <w:p>
            <w:r>
              <w:rPr>
                <w:rFonts w:ascii="Times New Roman" w:hAnsi="Times New Roman"/>
                <w:b/>
                <w:sz w:val="20"/>
              </w:rPr>
              <w:t>Trag-Status</w:t>
            </w:r>
          </w:p>
        </w:tc>
      </w:tr>
      <w:tr>
        <w:tc>
          <w:tcPr>
            <w:tcW w:type="dxa" w:w="4536"/>
          </w:tcPr>
          <w:p>
            <w:r>
              <w:rPr>
                <w:rFonts w:ascii="Times New Roman" w:hAnsi="Times New Roman"/>
                <w:sz w:val="20"/>
              </w:rPr>
              <w:t>1 — § 15a InsO</w:t>
            </w:r>
          </w:p>
        </w:tc>
        <w:tc>
          <w:tcPr>
            <w:tcW w:type="dxa" w:w="4536"/>
          </w:tcPr>
          <w:p>
            <w:r>
              <w:rPr>
                <w:rFonts w:ascii="Times New Roman" w:hAnsi="Times New Roman"/>
                <w:sz w:val="20"/>
              </w:rPr>
              <w:t>nur nach Gegengutachten endgültig zu bewerten; ggf. Fahrlässigkeit § 15a V InsO</w:t>
            </w:r>
          </w:p>
        </w:tc>
      </w:tr>
      <w:tr>
        <w:tc>
          <w:tcPr>
            <w:tcW w:type="dxa" w:w="4536"/>
          </w:tcPr>
          <w:p>
            <w:r>
              <w:rPr>
                <w:rFonts w:ascii="Times New Roman" w:hAnsi="Times New Roman"/>
                <w:sz w:val="20"/>
              </w:rPr>
              <w:t>2 — § 283 StGB Nr. 1, 5, 8</w:t>
            </w:r>
          </w:p>
        </w:tc>
        <w:tc>
          <w:tcPr>
            <w:tcW w:type="dxa" w:w="4536"/>
          </w:tcPr>
          <w:p>
            <w:r>
              <w:rPr>
                <w:rFonts w:ascii="Times New Roman" w:hAnsi="Times New Roman"/>
                <w:sz w:val="20"/>
              </w:rPr>
              <w:t>Nr. 8 (Privatentnahmen) tragfähig dem Grunde nach; Nr. 1 und Nr. 5 zweifelhaft</w:t>
            </w:r>
          </w:p>
        </w:tc>
      </w:tr>
      <w:tr>
        <w:tc>
          <w:tcPr>
            <w:tcW w:type="dxa" w:w="4536"/>
          </w:tcPr>
          <w:p>
            <w:r>
              <w:rPr>
                <w:rFonts w:ascii="Times New Roman" w:hAnsi="Times New Roman"/>
                <w:sz w:val="20"/>
              </w:rPr>
              <w:t>3 — § 266 StGB</w:t>
            </w:r>
          </w:p>
        </w:tc>
        <w:tc>
          <w:tcPr>
            <w:tcW w:type="dxa" w:w="4536"/>
          </w:tcPr>
          <w:p>
            <w:r>
              <w:rPr>
                <w:rFonts w:ascii="Times New Roman" w:hAnsi="Times New Roman"/>
                <w:sz w:val="20"/>
              </w:rPr>
              <w:t>Tatbestandsmaessig, aber Schadenshöhe reduziert</w:t>
            </w:r>
          </w:p>
        </w:tc>
      </w:tr>
      <w:tr>
        <w:tc>
          <w:tcPr>
            <w:tcW w:type="dxa" w:w="4536"/>
          </w:tcPr>
          <w:p>
            <w:r>
              <w:rPr>
                <w:rFonts w:ascii="Times New Roman" w:hAnsi="Times New Roman"/>
                <w:sz w:val="20"/>
              </w:rPr>
              <w:t>4 — § 266a StGB</w:t>
            </w:r>
          </w:p>
        </w:tc>
        <w:tc>
          <w:tcPr>
            <w:tcW w:type="dxa" w:w="4536"/>
          </w:tcPr>
          <w:p>
            <w:r>
              <w:rPr>
                <w:rFonts w:ascii="Times New Roman" w:hAnsi="Times New Roman"/>
                <w:sz w:val="20"/>
              </w:rPr>
              <w:t>Tragfähig, Strafmass zu reduzieren</w:t>
            </w:r>
          </w:p>
        </w:tc>
      </w:tr>
      <w:tr>
        <w:tc>
          <w:tcPr>
            <w:tcW w:type="dxa" w:w="4536"/>
          </w:tcPr>
          <w:p>
            <w:r>
              <w:rPr>
                <w:rFonts w:ascii="Times New Roman" w:hAnsi="Times New Roman"/>
                <w:sz w:val="20"/>
              </w:rPr>
              <w:t>5 — § 370 AO</w:t>
            </w:r>
          </w:p>
        </w:tc>
        <w:tc>
          <w:tcPr>
            <w:tcW w:type="dxa" w:w="4536"/>
          </w:tcPr>
          <w:p>
            <w:r>
              <w:rPr>
                <w:rFonts w:ascii="Times New Roman" w:hAnsi="Times New Roman"/>
                <w:sz w:val="20"/>
              </w:rPr>
              <w:t>Tragfähig, Strafmass zu reduzieren</w:t>
            </w:r>
          </w:p>
        </w:tc>
      </w:tr>
      <w:tr>
        <w:tc>
          <w:tcPr>
            <w:tcW w:type="dxa" w:w="4536"/>
          </w:tcPr>
          <w:p>
            <w:r>
              <w:rPr>
                <w:rFonts w:ascii="Times New Roman" w:hAnsi="Times New Roman"/>
                <w:sz w:val="20"/>
              </w:rPr>
              <w:t>6 — § 264 StGB</w:t>
            </w:r>
          </w:p>
        </w:tc>
        <w:tc>
          <w:tcPr>
            <w:tcW w:type="dxa" w:w="4536"/>
          </w:tcPr>
          <w:p>
            <w:r>
              <w:rPr>
                <w:rFonts w:ascii="Times New Roman" w:hAnsi="Times New Roman"/>
                <w:sz w:val="20"/>
              </w:rPr>
              <w:t>Zweifelhaft; Schwerpunkt-Argumentation zur subventionserheblichen Vergleichsbasis</w:t>
            </w:r>
          </w:p>
        </w:tc>
      </w:tr>
      <w:tr>
        <w:tc>
          <w:tcPr>
            <w:tcW w:type="dxa" w:w="4536"/>
          </w:tcPr>
          <w:p>
            <w:r>
              <w:rPr>
                <w:rFonts w:ascii="Times New Roman" w:hAnsi="Times New Roman"/>
                <w:sz w:val="20"/>
              </w:rPr>
              <w:t>7 — § 261 StGB</w:t>
            </w:r>
          </w:p>
        </w:tc>
        <w:tc>
          <w:tcPr>
            <w:tcW w:type="dxa" w:w="4536"/>
          </w:tcPr>
          <w:p>
            <w:r>
              <w:rPr>
                <w:rFonts w:ascii="Times New Roman" w:hAnsi="Times New Roman"/>
                <w:sz w:val="20"/>
              </w:rPr>
              <w:t>Nicht tragfähig — Nichteröffnung beantragt</w:t>
            </w:r>
          </w:p>
        </w:tc>
      </w:tr>
    </w:tbl>
    <w:p>
      <w:pPr>
        <w:jc w:val="left"/>
      </w:pPr>
      <w:r>
        <w:t xml:space="preserve">Bei realistischer Bewertung erwarten wir eine </w:t>
      </w:r>
      <w:r>
        <w:rPr>
          <w:b/>
        </w:rPr>
        <w:t>Gesamtfreiheitsstrafe im Bereich 2 J. 6 M. bis 3 J.</w:t>
      </w:r>
      <w:r>
        <w:t xml:space="preserve">, bei Teilnichteröffnung Komplex 6 + 7 ggf. unter 2 Jahren — dann </w:t>
      </w:r>
      <w:r>
        <w:rPr>
          <w:b/>
        </w:rPr>
        <w:t>Aussetzung zur Bewährung</w:t>
      </w:r>
      <w:r>
        <w:t xml:space="preserve"> (§ 56 Abs. 1, 2 StGB) sachgerecht.</w:t>
      </w:r>
    </w:p>
    <w:p>
      <w:pPr>
        <w:pStyle w:val="Heading2"/>
      </w:pPr>
      <w:r>
        <w:rPr>
          <w:rFonts w:ascii="Times New Roman" w:hAnsi="Times New Roman"/>
        </w:rPr>
        <w:t>V. Beweisanerbieten</w:t>
      </w:r>
    </w:p>
    <w:p>
      <w:pPr>
        <w:pStyle w:val="ListBullet"/>
      </w:pPr>
      <w:r>
        <w:t>Gegengutachten Insolvenzreife (Prof. Dr. Linthorst-Behrenfels) — Lieferung 30.07.2026</w:t>
      </w:r>
    </w:p>
    <w:p>
      <w:pPr>
        <w:pStyle w:val="ListBullet"/>
      </w:pPr>
      <w:r>
        <w:t>Aussagepsychologisches Gutachten Quasthoff (Prof. Dr. Hennenkort) — Lieferung 15.08.2026</w:t>
      </w:r>
    </w:p>
    <w:p>
      <w:pPr>
        <w:pStyle w:val="ListBullet"/>
      </w:pPr>
      <w:r>
        <w:t>Sanierungs-Term-Sheet Volksbank Rhein-Berg vom 18.12.2024</w:t>
      </w:r>
    </w:p>
    <w:p>
      <w:pPr>
        <w:pStyle w:val="ListBullet"/>
      </w:pPr>
      <w:r>
        <w:t>Auftragsbestätigungen Wroclaw vom 22.01.2025 (Auchan-Polska, Lidl-Polen Wroclaw)</w:t>
      </w:r>
    </w:p>
    <w:p>
      <w:pPr>
        <w:pStyle w:val="ListBullet"/>
      </w:pPr>
      <w:r>
        <w:t>Verfahrensgutachten Branchenvergleich Spedition 2019-2022</w:t>
      </w:r>
    </w:p>
    <w:p>
      <w:pPr>
        <w:pStyle w:val="ListBullet"/>
      </w:pPr>
      <w:r>
        <w:t>Vernehmung Zeugen Tannekoetter (Bottrop), Linnemann (externer Buchhalter), Wagner-Hieronymi (Insolvenzverwalter)</w:t>
      </w:r>
    </w:p>
    <w:p>
      <w:pPr>
        <w:pStyle w:val="Heading2"/>
      </w:pPr>
      <w:r>
        <w:rPr>
          <w:rFonts w:ascii="Times New Roman" w:hAnsi="Times New Roman"/>
        </w:rPr>
        <w:t>VI. Antrag</w:t>
      </w:r>
    </w:p>
    <w:p>
      <w:pPr>
        <w:jc w:val="left"/>
      </w:pPr>
      <w:r>
        <w:t>Wir beantragen,</w:t>
      </w:r>
    </w:p>
    <w:p>
      <w:pPr>
        <w:pStyle w:val="ListNumber"/>
      </w:pPr>
      <w:r>
        <w:t xml:space="preserve">die Anklage hinsichtlich der Komplexe 6 (Subventionsbetrug) und 7 (Geldwaesche) </w:t>
      </w:r>
      <w:r>
        <w:rPr>
          <w:b/>
        </w:rPr>
        <w:t>nicht zur Hauptverhandlung zuzulassen</w:t>
      </w:r>
      <w:r>
        <w:t xml:space="preserve"> und insoweit gemäß § 204 Abs. 1 StPO abzulehnen;</w:t>
      </w:r>
    </w:p>
    <w:p>
      <w:pPr>
        <w:pStyle w:val="ListNumber"/>
      </w:pPr>
      <w:r>
        <w:t>das Verfahren hinsichtlich Komplexe 1 - 5 dahingehend zu eröffnen, dass dem in der vorgelegten Beweislage zweifelhaften Komplex 1 (§ 15a InsO) durch Beweisaufnahme nachgegangen wird, ggf. mit Gegengutachten;</w:t>
      </w:r>
    </w:p>
    <w:p>
      <w:pPr>
        <w:pStyle w:val="ListNumber"/>
      </w:pPr>
      <w:r>
        <w:t>die in der Akte 09 vorgelegte Haftprüfung / Haftbeschwerde vorrangig zu bescheiden;</w:t>
      </w:r>
    </w:p>
    <w:p>
      <w:pPr>
        <w:pStyle w:val="ListNumber"/>
      </w:pPr>
      <w:r>
        <w:t>den Beschuldigten in der Hauptverhandlung Gelegenheit zur substantiellen Einlassung zu geben.</w:t>
      </w:r>
    </w:p>
    <w:p/>
    <w:p>
      <w:pPr>
        <w:jc w:val="left"/>
      </w:pPr>
      <w:r>
        <w:t>Mit kollegialen Gruessen</w:t>
      </w:r>
    </w:p>
    <w:p>
      <w:pPr>
        <w:jc w:val="left"/>
      </w:pPr>
      <w:r>
        <w:rPr>
          <w:b/>
        </w:rPr>
        <w:t>Dr. Lia Vellbruck-Eisinger</w:t>
      </w:r>
    </w:p>
    <w:p>
      <w:pPr>
        <w:jc w:val="left"/>
      </w:pPr>
      <w:r>
        <w:t>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Koeln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Koeln</w:t>
    </w:r>
  </w:p>
  <w:p>
    <w:pPr>
      <w:jc w:val="left"/>
      <w:pBdr>
        <w:bottom w:val="single" w:sz="6" w:space="2" w:color="3B3F45"/>
      </w:pBdr>
    </w:pPr>
    <w:r>
      <w:rPr>
        <w:rFonts w:ascii="Times New Roman" w:hAnsi="Times New Roman"/>
        <w:color w:val="6B6B66"/>
        <w:sz w:val="16"/>
      </w:rPr>
      <w:t>Wirtschaftsstrafkammer — Vorzulegen via StA · Az. StA: 122 Js 884/25 / Vorauss. Az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