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Buchhaltungsausschnitt: Jahresabschluss 2024 (Auszug)</w:t>
      </w:r>
    </w:p>
    <w:p>
      <w:pPr>
        <w:jc w:val="left"/>
      </w:pPr>
      <w:r>
        <w:rPr>
          <w:b/>
        </w:rPr>
        <w:t>Pellbach Logistik &amp; Spedition GmbH, Koeln</w:t>
      </w:r>
    </w:p>
    <w:p>
      <w:pPr>
        <w:jc w:val="left"/>
      </w:pPr>
      <w:r>
        <w:rPr>
          <w:b/>
        </w:rPr>
        <w:t>Jahresabschluss zum 31. Dezember 2024 (Entwurf, vor Eröffnungsbeschluss IV)</w:t>
      </w:r>
    </w:p>
    <w:p>
      <w:pPr>
        <w:jc w:val="left"/>
      </w:pPr>
      <w:r>
        <w:t>Erstellt durch: Steuerberater Hubertus Engelmeier, Engelmeier StB, Koeln</w:t>
      </w:r>
    </w:p>
    <w:p>
      <w:pPr>
        <w:jc w:val="left"/>
      </w:pPr>
      <w:r>
        <w:t>Datum Entwurf: 18.02.2025 (vor Insolvenzantrag)</w:t>
      </w:r>
    </w:p>
    <w:p>
      <w:pPr>
        <w:jc w:val="left"/>
      </w:pPr>
      <w:r>
        <w:t>Dieser Auszug enthält Kerngroessen aus Bilanz und GuV sowie die Sanierungs-LFR (Liquiditaets- und Finanzrechnung Vorjahresvergleich).</w:t>
      </w:r>
    </w:p>
    <w:p/>
    <w:p>
      <w:pPr>
        <w:pStyle w:val="Heading2"/>
      </w:pPr>
      <w:r>
        <w:rPr>
          <w:rFonts w:ascii="Times New Roman" w:hAnsi="Times New Roman"/>
        </w:rPr>
        <w:t>I. Bilanz zum 31.12.2024 (zusammengefasst, in TEUR)</w:t>
      </w:r>
    </w:p>
    <w:p>
      <w:pPr>
        <w:pStyle w:val="Heading3"/>
      </w:pPr>
      <w:r>
        <w:rPr>
          <w:rFonts w:ascii="Times New Roman" w:hAnsi="Times New Roman"/>
        </w:rPr>
        <w:t>Aktiva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31.12.2024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31.12.2023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A. Anlagevermögen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I. Immaterielle Vermögensgegenstände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II. Sachanlagen (Lkw-Flotte, Lagereinrichtungen)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4.620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III. Finanzanlagen (Beteiligung Wroclaw 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AV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5.008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5.465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B. Umlaufvermögen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I. Vorräte (insbesondere Markenware Bottrop)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II. Forderungen (LuL)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2.310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2.876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III. Sonstige VG / Verrechnung Wroclaw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IV. Kassenbestand, 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567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UV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4.708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4.855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 Rechnungsabgrenzung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Aktiva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9.738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10.348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Passiva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31.12.2024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31.12.2023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A. Eigenkapital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I. Stammkapital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II. Gewinnrücklagen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1.052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III. Jahresfehlbetrag / -ueberschuss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-894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EK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334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1.228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B. Rückstellungen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 Verbindlichkeiten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I. ggue. Kreditinstituten (Vbk. Rhein-Berg)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3.880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II. LuL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2.420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III. ggue. verbundenen Unternehmen (Wroclaw)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IV. SV / Steuern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V. sonstige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1.012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Vbk.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8.792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7.580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Passiva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9.738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9.348</w:t>
            </w:r>
            <w:r>
              <w:rPr>
                <w:rFonts w:ascii="Times New Roman" w:hAnsi="Times New Roman"/>
                <w:sz w:val="20"/>
              </w:rPr>
              <w:t xml:space="preserve"> (vergleichsweise)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Befund</w:t>
      </w:r>
    </w:p>
    <w:p>
      <w:pPr>
        <w:jc w:val="left"/>
      </w:pPr>
      <w:r>
        <w:t>Eigenkapital sinkt von 1.228 TEUR auf 334 TEUR (Eigenkapitalquote ca. 3,4 %). Verbindlichkeiten ggue. Kreditinstituten steigen leicht; LuL steigen erheblich (+520 TEUR). SV / Steuerverbindlichkeiten steigen von 178 auf 312 TEUR (Indikator für beginnende Liquiditätsprobleme).</w:t>
      </w:r>
    </w:p>
    <w:p/>
    <w:p>
      <w:pPr>
        <w:pStyle w:val="Heading2"/>
      </w:pPr>
      <w:r>
        <w:rPr>
          <w:rFonts w:ascii="Times New Roman" w:hAnsi="Times New Roman"/>
        </w:rPr>
        <w:t>II. Gewinn- und Verlustrechnung (zusammengefasst, in TEUR)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18.420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21.880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Bestandsveränderungen + andere aktivierte Eigenleistungen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betriebliche Erträge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Materialaufwand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-10.890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-12.140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-5.820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-6.180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Abschreibungen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-780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-820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betriebliche Aufwendungen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-2.880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-554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Zinsergebnis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-270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 vor Steuern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-894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-360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Jahresfehlbetrag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-894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-324</w:t>
            </w:r>
          </w:p>
        </w:tc>
      </w:tr>
    </w:tbl>
    <w:p>
      <w:pPr>
        <w:jc w:val="left"/>
      </w:pPr>
      <w:r>
        <w:t xml:space="preserve">Umsatzrückgang ca. </w:t>
      </w:r>
      <w:r>
        <w:rPr>
          <w:b/>
        </w:rPr>
        <w:t>15,8 %</w:t>
      </w:r>
      <w:r>
        <w:t>. Hauptursachen: Verlust Grosskunde HelmwerkSued (02/2024), gestiegene Treibstoffpreise, Margenkompression.</w:t>
      </w:r>
    </w:p>
    <w:p/>
    <w:p>
      <w:pPr>
        <w:pStyle w:val="Heading2"/>
      </w:pPr>
      <w:r>
        <w:rPr>
          <w:rFonts w:ascii="Times New Roman" w:hAnsi="Times New Roman"/>
        </w:rPr>
        <w:t>III. Liquiditaets- und Finanzrechnung (LFR) — Stichtag 12.01.2025</w:t>
      </w:r>
    </w:p>
    <w:p>
      <w:pPr>
        <w:jc w:val="left"/>
      </w:pPr>
      <w:r>
        <w:t>(Auszug. Die LFR ist ergänzendes Werkzeug zur Beurteilung der Zahlungsfähigkeit.)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Liquide Mittel verfügbar zum Stichtag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Kontokorrentkreditrahmen Volksbank Rhein-Berg (gemäß Term-Sheet 18.12.2024)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Hieraus zu nutzen bis 31.01.2025 (mit Sanierungsauflagen)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620.000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Forderungseingänge erwartet 12.01.-31.01.2025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Erträge (Wroclaw-Überlauf, Kundenanzahlung Mehrwald)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Liquiditaetszuflu(e)sse Stichmonat 12.01.-31.01.2025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2.040.000</w:t>
            </w:r>
            <w:r>
              <w:rPr>
                <w:rFonts w:ascii="Times New Roman" w:hAnsi="Times New Roman"/>
                <w:sz w:val="20"/>
              </w:rPr>
              <w:t xml:space="preserve"> + </w:t>
            </w:r>
            <w:r>
              <w:rPr>
                <w:rFonts w:ascii="Times New Roman" w:hAnsi="Times New Roman"/>
                <w:b/>
                <w:sz w:val="20"/>
              </w:rPr>
              <w:t>184.000 Kasse</w:t>
            </w:r>
            <w:r>
              <w:rPr>
                <w:rFonts w:ascii="Times New Roman" w:hAnsi="Times New Roman"/>
                <w:sz w:val="20"/>
              </w:rPr>
              <w:t xml:space="preserve"> = </w:t>
            </w:r>
            <w:r>
              <w:rPr>
                <w:rFonts w:ascii="Times New Roman" w:hAnsi="Times New Roman"/>
                <w:b/>
                <w:sz w:val="20"/>
              </w:rPr>
              <w:t>2.224.000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Fällige Verbindlichkeiten 12.01.-31.01.2025: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Löhne Restzahlung Dezember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SV-Beiträge rückständig Q4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LuL kurzfristig fällig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870.000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USt-Vorauszahlung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Treibstoff / Wartung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Fällige Verbindlichkeiten Stichmonat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2.143.000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Deckung im Stichmonat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+81.000</w:t>
            </w:r>
            <w:r>
              <w:rPr>
                <w:rFonts w:ascii="Times New Roman" w:hAnsi="Times New Roman"/>
                <w:sz w:val="20"/>
              </w:rPr>
              <w:t xml:space="preserve">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Deckungsquote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103,8 %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Befund Verteidigung</w:t>
      </w:r>
    </w:p>
    <w:p>
      <w:pPr>
        <w:jc w:val="left"/>
      </w:pPr>
      <w:r>
        <w:t xml:space="preserve">Bei kontrollierter Sanierung war die Liquidität am 12.01.2025 </w:t>
      </w:r>
      <w:r>
        <w:rPr>
          <w:b/>
        </w:rPr>
        <w:t>knapp positiv</w:t>
      </w:r>
      <w:r>
        <w:t>. Dies spricht gegen Zahlungsunfähigkeit iSd § 17 InsO und gegen Antragspflicht § 15a InsO zum behaupteten Stichtag.</w:t>
      </w:r>
    </w:p>
    <w:p>
      <w:pPr>
        <w:pStyle w:val="Heading3"/>
      </w:pPr>
      <w:r>
        <w:rPr>
          <w:rFonts w:ascii="Times New Roman" w:hAnsi="Times New Roman"/>
        </w:rPr>
        <w:t>Befund StA / Schönwetter (Position Anklage)</w:t>
      </w:r>
    </w:p>
    <w:p>
      <w:pPr>
        <w:jc w:val="left"/>
      </w:pPr>
      <w:r>
        <w:t xml:space="preserve">Die Sachverständige Schönwetter argumentiert in ihrem Gutachten (19.02.2026), dass der Kontokorrentrahmen Volksbank Rhein-Berg unter den Sanierungsauflagen </w:t>
      </w:r>
      <w:r>
        <w:rPr>
          <w:b/>
        </w:rPr>
        <w:t>nicht abrufbar</w:t>
      </w:r>
      <w:r>
        <w:t xml:space="preserve"> gewesen sei (Verstoss gegen Auflage "Quotale Tilgungsleistung", Punkt 4.2 Term-Sheet). Damit fällt der ausgewiesene Liquiditätspuffer von 620.000 EUR und die Deckungsquote sinkt auf 73 %. Die StA folgt dieser Sicht.</w:t>
      </w:r>
    </w:p>
    <w:p>
      <w:pPr>
        <w:pStyle w:val="Heading3"/>
      </w:pPr>
      <w:r>
        <w:rPr>
          <w:rFonts w:ascii="Times New Roman" w:hAnsi="Times New Roman"/>
        </w:rPr>
        <w:t>Streitpunkt</w:t>
      </w:r>
    </w:p>
    <w:p>
      <w:pPr>
        <w:jc w:val="left"/>
      </w:pPr>
      <w:r>
        <w:t xml:space="preserve">Die Frage, ob die Sanierungsauflagen am 12.01.2025 die Kontokorrentinanspruchnahme </w:t>
      </w:r>
      <w:r>
        <w:rPr>
          <w:b/>
        </w:rPr>
        <w:t>hinderten</w:t>
      </w:r>
      <w:r>
        <w:t xml:space="preserve"> oder lediglich die Tilgungsmodalitaet betrafen, ist der zentrale Streitpunkt. Verteidigung weist auf eine ergänzende E-Mail des Volksbank-Kundenberaters Mathieu Hoehner vom 10.01.2025 hin, die Sanierungsauflagen lockerer formuliert.</w:t>
      </w:r>
    </w:p>
    <w:p/>
    <w:p>
      <w:pPr>
        <w:pStyle w:val="Heading2"/>
      </w:pPr>
      <w:r>
        <w:rPr>
          <w:rFonts w:ascii="Times New Roman" w:hAnsi="Times New Roman"/>
        </w:rPr>
        <w:t>IV. Anhang Verteidiger</w:t>
      </w:r>
    </w:p>
    <w:p>
      <w:pPr>
        <w:pStyle w:val="ListBullet"/>
      </w:pPr>
      <w:r>
        <w:t>Anlage 11/A: Vollständiger Jahresabschluss 2024 (Entwurf) — siehe Sonderband Buchhaltung 2.</w:t>
      </w:r>
    </w:p>
    <w:p>
      <w:pPr>
        <w:pStyle w:val="ListBullet"/>
      </w:pPr>
      <w:r>
        <w:t>Anlage 11/B: Sanierungs-Term-Sheet Volksbank Rhein-Berg vom 18.12.2024 (Anlage 2 zur Haftprüfung).</w:t>
      </w:r>
    </w:p>
    <w:p>
      <w:pPr>
        <w:pStyle w:val="ListBullet"/>
      </w:pPr>
      <w:r>
        <w:t>Anlage 11/C: E-Mail Hoehner an Pellbach vom 10.01.2025 (Höhe und Bedingungen Kontokorrent).</w:t>
      </w:r>
    </w:p>
    <w:p>
      <w:pPr>
        <w:pStyle w:val="ListBullet"/>
      </w:pPr>
      <w:r>
        <w:t>Anlage 11/D: Liquiditätsplanung Pellbach Logistik 08.01.2025 (Anlage 1 zur Haftprüfung).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Logistik &amp; Spedition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Logistik &amp; Spedition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Koeln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