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— Insolvenzantrag und Eröffnungsbeschluss</w:t>
      </w:r>
    </w:p>
    <w:p>
      <w:pPr>
        <w:jc w:val="left"/>
      </w:pPr>
      <w:r>
        <w:rPr>
          <w:b/>
        </w:rPr>
        <w:t>Teil A:</w:t>
      </w:r>
      <w:r>
        <w:t xml:space="preserve"> Eigenantrag der Pellbach Logistik &amp; Spedition GmbH vom 09.03.2025</w:t>
      </w:r>
    </w:p>
    <w:p>
      <w:pPr>
        <w:jc w:val="left"/>
      </w:pPr>
      <w:r>
        <w:rPr>
          <w:b/>
        </w:rPr>
        <w:t>Teil B:</w:t>
      </w:r>
      <w:r>
        <w:t xml:space="preserve"> Eröffnungsbeschluss AG Koeln (Insolvenzgericht) vom 17.04.2025</w:t>
      </w:r>
    </w:p>
    <w:p>
      <w:pPr>
        <w:jc w:val="left"/>
      </w:pPr>
      <w:r>
        <w:rPr>
          <w:b/>
        </w:rPr>
        <w:t>Teil C:</w:t>
      </w:r>
      <w:r>
        <w:t xml:space="preserve"> Verfahrensvermerk Verteidigung zur insolvenzanfechtungsrechtlichen Parallelität</w:t>
      </w:r>
    </w:p>
    <w:p>
      <w:pPr>
        <w:jc w:val="left"/>
      </w:pPr>
      <w:r>
        <w:t>Aktentyp: Beglaubigte Abschriften (A, B) und interne Notiz (C)</w:t>
      </w:r>
    </w:p>
    <w:p/>
    <w:p>
      <w:pPr>
        <w:pStyle w:val="Heading2"/>
      </w:pPr>
      <w:r>
        <w:rPr>
          <w:rFonts w:ascii="Times New Roman" w:hAnsi="Times New Roman"/>
        </w:rPr>
        <w:t>Teil A — Eigenantrag der Pellbach Logistik &amp; Spedition GmbH vom 09.03.2025</w:t>
      </w:r>
    </w:p>
    <w:p>
      <w:pPr>
        <w:pStyle w:val="Heading3"/>
      </w:pPr>
      <w:r>
        <w:rPr>
          <w:rFonts w:ascii="Times New Roman" w:hAnsi="Times New Roman"/>
        </w:rPr>
        <w:t>I. Antragsteller</w:t>
      </w:r>
    </w:p>
    <w:p>
      <w:pPr>
        <w:jc w:val="left"/>
      </w:pPr>
      <w:r>
        <w:t>Pellbach Logistik &amp; Spedition GmbH, Friesenwall 17-21, 50672 Koeln, HRB 14 882 (Amtsgericht Koeln). Vertreten durch den Geschäftsführer Dr. Carlsten Heinrich Pellbach-Eisenacher.</w:t>
      </w:r>
    </w:p>
    <w:p>
      <w:pPr>
        <w:pStyle w:val="Heading3"/>
      </w:pPr>
      <w:r>
        <w:rPr>
          <w:rFonts w:ascii="Times New Roman" w:hAnsi="Times New Roman"/>
        </w:rPr>
        <w:t>II. Antrag</w:t>
      </w:r>
    </w:p>
    <w:p>
      <w:pPr>
        <w:jc w:val="left"/>
      </w:pPr>
      <w:r>
        <w:t xml:space="preserve">Eröffnung des Insolvenzverfahrens über das Vermögen der Antragstellerin wegen </w:t>
      </w:r>
      <w:r>
        <w:rPr>
          <w:b/>
        </w:rPr>
        <w:t>Zahlungsunfähigkeit</w:t>
      </w:r>
      <w:r>
        <w:t xml:space="preserve"> (§§ 17, 18 InsO) und </w:t>
      </w:r>
      <w:r>
        <w:rPr>
          <w:b/>
        </w:rPr>
        <w:t>Überschuldung</w:t>
      </w:r>
      <w:r>
        <w:t xml:space="preserve"> (§ 19 InsO).</w:t>
      </w:r>
    </w:p>
    <w:p>
      <w:pPr>
        <w:pStyle w:val="Heading3"/>
      </w:pPr>
      <w:r>
        <w:rPr>
          <w:rFonts w:ascii="Times New Roman" w:hAnsi="Times New Roman"/>
        </w:rPr>
        <w:t>III. Antragsgründe</w:t>
      </w:r>
    </w:p>
    <w:p>
      <w:pPr>
        <w:pStyle w:val="Heading3"/>
      </w:pPr>
      <w:r>
        <w:rPr>
          <w:rFonts w:ascii="Times New Roman" w:hAnsi="Times New Roman"/>
        </w:rPr>
        <w:t>1. Zahlungsunfähigkeit (§ 17 InsO)</w:t>
      </w:r>
    </w:p>
    <w:p>
      <w:pPr>
        <w:jc w:val="left"/>
      </w:pPr>
      <w:r>
        <w:t xml:space="preserve">Seit dem </w:t>
      </w:r>
      <w:r>
        <w:rPr>
          <w:b/>
        </w:rPr>
        <w:t>01.03.2025</w:t>
      </w:r>
      <w:r>
        <w:t xml:space="preserve"> liegt Zahlungsunfähigkeit vor. Die Antragstellerin kann fällige Verbindlichkeiten in Höhe von ca. </w:t>
      </w:r>
      <w:r>
        <w:rPr>
          <w:b/>
        </w:rPr>
        <w:t>2,8 Mio EUR</w:t>
      </w:r>
      <w:r>
        <w:t xml:space="preserve"> nicht erfüllen. Hauptursachen:</w:t>
      </w:r>
    </w:p>
    <w:p>
      <w:pPr>
        <w:pStyle w:val="ListBullet"/>
      </w:pPr>
      <w:r>
        <w:t>Verlust Grosskunde HelmwerkSued zum 28.02.2024 (Umsatzverlust ca. 4,2 Mio EUR p.a.);</w:t>
      </w:r>
    </w:p>
    <w:p>
      <w:pPr>
        <w:pStyle w:val="ListBullet"/>
      </w:pPr>
      <w:r>
        <w:t>Steigerung Treibstoff- und Personalkosten 2023/2024;</w:t>
      </w:r>
    </w:p>
    <w:p>
      <w:pPr>
        <w:pStyle w:val="ListBullet"/>
      </w:pPr>
      <w:r>
        <w:t>Aufkuendigung Sanierungsvereinbarung Volksbank Rhein-Berg am 27.02.2025;</w:t>
      </w:r>
    </w:p>
    <w:p>
      <w:pPr>
        <w:pStyle w:val="ListBullet"/>
      </w:pPr>
      <w:r>
        <w:t>Stornierung Auftrag Kunde Mehrwald am 03.03.2025.</w:t>
      </w:r>
    </w:p>
    <w:p>
      <w:pPr>
        <w:pStyle w:val="Heading3"/>
      </w:pPr>
      <w:r>
        <w:rPr>
          <w:rFonts w:ascii="Times New Roman" w:hAnsi="Times New Roman"/>
        </w:rPr>
        <w:t>2. Überschuldung (§ 19 InsO)</w:t>
      </w:r>
    </w:p>
    <w:p>
      <w:pPr>
        <w:jc w:val="left"/>
      </w:pPr>
      <w:r>
        <w:t xml:space="preserve">Eigenkapital zum 31.12.2024 (Entwurf): 334 TEUR. Ungedeckter Fehlbetrag zum Stichtag 28.02.2025 nach Bilanzentwurf: 1.140 TEUR (Überschuldung im bilanziellen Sinne). Fortbestehensprognose: </w:t>
      </w:r>
      <w:r>
        <w:rPr>
          <w:b/>
        </w:rPr>
        <w:t>negativ</w:t>
      </w:r>
      <w:r>
        <w:t xml:space="preserve"> ab Aufkuendigung der Sanierungsvereinbarung 27.02.2025.</w:t>
      </w:r>
    </w:p>
    <w:p>
      <w:pPr>
        <w:pStyle w:val="Heading3"/>
      </w:pPr>
      <w:r>
        <w:rPr>
          <w:rFonts w:ascii="Times New Roman" w:hAnsi="Times New Roman"/>
        </w:rPr>
        <w:t>IV. Gläubigerverzeichnis / Vermögensaufstellung</w:t>
      </w:r>
    </w:p>
    <w:p>
      <w:pPr>
        <w:pStyle w:val="ListBullet"/>
      </w:pPr>
      <w:r>
        <w:t xml:space="preserve">Gläubigerverzeichnis: 187 Gläubiger; Gesamtverbindlichkeiten ca. </w:t>
      </w:r>
      <w:r>
        <w:rPr>
          <w:b/>
        </w:rPr>
        <w:t>8,8 Mio EUR</w:t>
      </w:r>
    </w:p>
    <w:p>
      <w:pPr>
        <w:pStyle w:val="ListBullet"/>
      </w:pPr>
      <w:r>
        <w:t>Vermögen: Anlagevermögen ca. 5,0 Mio EUR; Umlaufvermögen ca. 4,7 Mio EUR (Buchwerte); Realisierbarkeit erheblich reduziert</w:t>
      </w:r>
    </w:p>
    <w:p>
      <w:pPr>
        <w:pStyle w:val="ListBullet"/>
      </w:pPr>
      <w:r>
        <w:t>Mitarbeiter: 195</w:t>
      </w:r>
    </w:p>
    <w:p>
      <w:pPr>
        <w:pStyle w:val="ListBullet"/>
      </w:pPr>
      <w:r>
        <w:t>Löhne / Gehälter rückständig: ca. 410 TEUR</w:t>
      </w:r>
    </w:p>
    <w:p>
      <w:pPr>
        <w:pStyle w:val="Heading3"/>
      </w:pPr>
      <w:r>
        <w:rPr>
          <w:rFonts w:ascii="Times New Roman" w:hAnsi="Times New Roman"/>
        </w:rPr>
        <w:t>V. Beigefügt</w:t>
      </w:r>
    </w:p>
    <w:p>
      <w:pPr>
        <w:pStyle w:val="ListBullet"/>
      </w:pPr>
      <w:r>
        <w:t>Bilanz / GuV 2024 (Entwurf)</w:t>
      </w:r>
    </w:p>
    <w:p>
      <w:pPr>
        <w:pStyle w:val="ListBullet"/>
      </w:pPr>
      <w:r>
        <w:t>Liquiditätsstatus 08.03.2025</w:t>
      </w:r>
    </w:p>
    <w:p>
      <w:pPr>
        <w:pStyle w:val="ListBullet"/>
      </w:pPr>
      <w:r>
        <w:t>Sanierungs-Term-Sheet (gekündigt)</w:t>
      </w:r>
    </w:p>
    <w:p>
      <w:pPr>
        <w:pStyle w:val="ListBullet"/>
      </w:pPr>
      <w:r>
        <w:t>Gläubigerverzeichnis Excel</w:t>
      </w:r>
    </w:p>
    <w:p>
      <w:pPr>
        <w:jc w:val="left"/>
      </w:pPr>
      <w:r>
        <w:t>Koeln, 09.03.2025</w:t>
      </w:r>
    </w:p>
    <w:p>
      <w:pPr>
        <w:jc w:val="left"/>
      </w:pPr>
      <w:r>
        <w:t xml:space="preserve">gez. </w:t>
      </w:r>
      <w:r>
        <w:rPr>
          <w:b/>
        </w:rPr>
        <w:t>Dr. Carlsten Pellbach-Eisenacher</w:t>
      </w:r>
      <w:r>
        <w:t xml:space="preserve"> (GF)</w:t>
      </w:r>
    </w:p>
    <w:p>
      <w:pPr>
        <w:jc w:val="left"/>
      </w:pPr>
      <w:r>
        <w:t>Erstellt unter Mitwirkung von Steuerberater Engelmeier; insolvenzrechtliche Beratung Kanzlei Wagner-Hieronymi (vorbereitend)</w:t>
      </w:r>
    </w:p>
    <w:p/>
    <w:p>
      <w:pPr>
        <w:pStyle w:val="Heading2"/>
      </w:pPr>
      <w:r>
        <w:rPr>
          <w:rFonts w:ascii="Times New Roman" w:hAnsi="Times New Roman"/>
        </w:rPr>
        <w:t>Teil B — Eröffnungsbeschluss AG Koeln (Insolvenzgericht), 17.04.2025</w:t>
      </w:r>
    </w:p>
    <w:p>
      <w:pPr>
        <w:jc w:val="left"/>
      </w:pPr>
      <w:r>
        <w:t xml:space="preserve">Az.: </w:t>
      </w:r>
      <w:r>
        <w:rPr>
          <w:b/>
        </w:rPr>
        <w:t>88 IN 142/25</w:t>
      </w:r>
      <w:r>
        <w:t xml:space="preserve"> — AG Koeln, Insolvenzgericht</w:t>
      </w:r>
    </w:p>
    <w:p>
      <w:pPr>
        <w:pStyle w:val="Heading3"/>
      </w:pPr>
      <w:r>
        <w:rPr>
          <w:rFonts w:ascii="Times New Roman" w:hAnsi="Times New Roman"/>
        </w:rPr>
        <w:t>I. Tenor</w:t>
      </w:r>
    </w:p>
    <w:p>
      <w:pPr>
        <w:jc w:val="left"/>
      </w:pPr>
      <w:r>
        <w:t>Über das Vermögen der</w:t>
      </w:r>
    </w:p>
    <w:p>
      <w:pPr>
        <w:jc w:val="left"/>
      </w:pPr>
      <w:r>
        <w:rPr>
          <w:b/>
        </w:rPr>
        <w:t>Pellbach Logistik &amp; Spedition GmbH</w:t>
      </w:r>
      <w:r>
        <w:t>, Friesenwall 17-21, 50672 Koeln (HRB 14 882),</w:t>
      </w:r>
    </w:p>
    <w:p>
      <w:pPr>
        <w:jc w:val="left"/>
      </w:pPr>
      <w:r>
        <w:t xml:space="preserve">wird heute, 17.04.2025, 09:00 Uhr, das Insolvenzverfahren wegen Zahlungsunfähigkeit und Überschuldung </w:t>
      </w:r>
      <w:r>
        <w:rPr>
          <w:b/>
        </w:rPr>
        <w:t>eröffnet</w:t>
      </w:r>
      <w:r>
        <w:t xml:space="preserve"> (§§ 16 ff., 17, 19, 27, 35 InsO).</w:t>
      </w:r>
    </w:p>
    <w:p>
      <w:pPr>
        <w:jc w:val="left"/>
      </w:pPr>
      <w:r>
        <w:t>Zum Insolvenzverwalter wird bestellt:</w:t>
      </w:r>
    </w:p>
    <w:p>
      <w:pPr>
        <w:jc w:val="left"/>
      </w:pPr>
      <w:r>
        <w:rPr>
          <w:b/>
        </w:rPr>
        <w:t>Rechtsanwalt Dr. Konrad Wagner-Hieronymi</w:t>
      </w:r>
      <w:r>
        <w:t>, Wagner-Hieronymi &amp; Partner, Friesenplatz 14, 50672 Koeln.</w:t>
      </w:r>
    </w:p>
    <w:p>
      <w:pPr>
        <w:pStyle w:val="Heading3"/>
      </w:pPr>
      <w:r>
        <w:rPr>
          <w:rFonts w:ascii="Times New Roman" w:hAnsi="Times New Roman"/>
        </w:rPr>
        <w:t>II. Aufforderung Gläubiger / Termine</w:t>
      </w:r>
    </w:p>
    <w:p>
      <w:pPr>
        <w:pStyle w:val="ListBullet"/>
      </w:pPr>
      <w:r>
        <w:t xml:space="preserve">Anmeldung Gläubigerforderungen bis </w:t>
      </w:r>
      <w:r>
        <w:rPr>
          <w:b/>
        </w:rPr>
        <w:t>23.05.2025</w:t>
      </w:r>
      <w:r>
        <w:t>.</w:t>
      </w:r>
    </w:p>
    <w:p>
      <w:pPr>
        <w:pStyle w:val="ListBullet"/>
      </w:pPr>
      <w:r>
        <w:t xml:space="preserve">Prüfungstermin: </w:t>
      </w:r>
      <w:r>
        <w:rPr>
          <w:b/>
        </w:rPr>
        <w:t>02.07.2025</w:t>
      </w:r>
      <w:r>
        <w:t>, 10:00 Uhr, AG Koeln, Saal 412.</w:t>
      </w:r>
    </w:p>
    <w:p>
      <w:pPr>
        <w:pStyle w:val="ListBullet"/>
      </w:pPr>
      <w:r>
        <w:t>Berichts- und Schlusstermin: in Folge zu bestimmen.</w:t>
      </w:r>
    </w:p>
    <w:p>
      <w:pPr>
        <w:pStyle w:val="Heading3"/>
      </w:pPr>
      <w:r>
        <w:rPr>
          <w:rFonts w:ascii="Times New Roman" w:hAnsi="Times New Roman"/>
        </w:rPr>
        <w:t>III. Anordnungen</w:t>
      </w:r>
    </w:p>
    <w:p>
      <w:pPr>
        <w:pStyle w:val="ListBullet"/>
      </w:pPr>
      <w:r>
        <w:t>Verfügungsbeschränkung iSd § 81 InsO über Schuldnervermoegen ist eingetreten.</w:t>
      </w:r>
    </w:p>
    <w:p>
      <w:pPr>
        <w:pStyle w:val="ListBullet"/>
      </w:pPr>
      <w:r>
        <w:t>Verwertung des Aktivvermögens durch den Insolvenzverwalter ist zugelassen (§ 159 InsO).</w:t>
      </w:r>
    </w:p>
    <w:p>
      <w:pPr>
        <w:pStyle w:val="ListBullet"/>
      </w:pPr>
      <w:r>
        <w:t>Postsperre § 99 InsO angeordnet.</w:t>
      </w:r>
    </w:p>
    <w:p>
      <w:pPr>
        <w:jc w:val="left"/>
      </w:pPr>
      <w:r>
        <w:t xml:space="preserve">Koeln, 17.04.2025 — gez. </w:t>
      </w:r>
      <w:r>
        <w:rPr>
          <w:b/>
        </w:rPr>
        <w:t>Rixenkamp</w:t>
      </w:r>
      <w:r>
        <w:t>, Rechtspflegerin / Insolvenzgericht</w:t>
      </w:r>
    </w:p>
    <w:p/>
    <w:p>
      <w:pPr>
        <w:pStyle w:val="Heading2"/>
      </w:pPr>
      <w:r>
        <w:rPr>
          <w:rFonts w:ascii="Times New Roman" w:hAnsi="Times New Roman"/>
        </w:rPr>
        <w:t>Teil C — Verfahrensvermerk Verteidigung zur insolvenzanfechtungsrechtlichen Parallelität</w:t>
      </w:r>
    </w:p>
    <w:p>
      <w:pPr>
        <w:jc w:val="left"/>
      </w:pPr>
      <w:r>
        <w:rPr>
          <w:b/>
        </w:rPr>
        <w:t>Vellbruck Strafverteidigung Koeln — Interne Notiz</w:t>
      </w:r>
    </w:p>
    <w:p>
      <w:pPr>
        <w:jc w:val="left"/>
      </w:pPr>
      <w:r>
        <w:t>Erstellt: RA Knehrkamp, 20.05.2026</w:t>
      </w:r>
    </w:p>
    <w:p>
      <w:pPr>
        <w:pStyle w:val="Heading3"/>
      </w:pPr>
      <w:r>
        <w:rPr>
          <w:rFonts w:ascii="Times New Roman" w:hAnsi="Times New Roman"/>
        </w:rPr>
        <w:t>1. Bedeutung der Insolvenzanfechtung für Strafverfahren</w:t>
      </w:r>
    </w:p>
    <w:p>
      <w:pPr>
        <w:jc w:val="left"/>
      </w:pPr>
      <w:r>
        <w:t xml:space="preserve">Die Insolvenzanfechtungsrechtspraxis nach §§ 129-147 InsO und das Bankrottstrafrecht (§§ 283 ff. StGB) verfolgen unterschiedliche Schutzziele, beruhen aber teilweise auf denselben Sachverhalten (Verteilung von Vermögenswerten in der Krise). Vgl. Skill </w:t>
      </w:r>
      <w:r>
        <w:t>strafrecht-spezial-konkursrechtliche-anfechtungsbezuege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2. Anfechtbare Handlungen im Falle Pellbach</w:t>
      </w:r>
    </w:p>
    <w:p>
      <w:pPr>
        <w:jc w:val="left"/>
      </w:pPr>
      <w:r>
        <w:t>Der Insolvenzverwalter Wagner-Hieronymi hat in seiner Strafanzeige vom 28.10.2025 darauf hingewiesen, dass folgende Vermögensbewegungen unter Insolvenzanfechtung fallen könnten:</w:t>
      </w:r>
    </w:p>
    <w:p>
      <w:pPr>
        <w:pStyle w:val="ListBullet"/>
      </w:pPr>
      <w:r>
        <w:t>Privatentnahmen 01.11.2024 - 28.02.2025 (412.000 EUR) — Anfechtung nach § 133 InsO (Vorsatzanfechtung) oder § 134 InsO (unentgeltliche Leistung)? Prüfen.</w:t>
      </w:r>
    </w:p>
    <w:p>
      <w:pPr>
        <w:pStyle w:val="ListBullet"/>
      </w:pPr>
      <w:r>
        <w:t>Lager-Verbringung Bottrop nach Wroclaw 17.02.-27.02.2025 — Anfechtung gegen Wroclaw-Tochter nach § 130 InsO (kongruente Deckung), § 131 InsO (inkongruente Deckung), § 132 InsO (unmittelbar nachteilige Rechtshandlung)?</w:t>
      </w:r>
    </w:p>
    <w:p>
      <w:pPr>
        <w:pStyle w:val="ListBullet"/>
      </w:pPr>
      <w:r>
        <w:t>Wroclaw-Zahlung 120.000 EUR am 17.01.2025 — Anfechtung als unentgeltliche Leistung oder Vorsatzanfechtung?</w:t>
      </w:r>
    </w:p>
    <w:p>
      <w:pPr>
        <w:pStyle w:val="Heading3"/>
      </w:pPr>
      <w:r>
        <w:rPr>
          <w:rFonts w:ascii="Times New Roman" w:hAnsi="Times New Roman"/>
        </w:rPr>
        <w:t>3. Strategische Konsequenz für Strafverteidigung</w:t>
      </w:r>
    </w:p>
    <w:p>
      <w:pPr>
        <w:pStyle w:val="ListBullet"/>
      </w:pPr>
      <w:r>
        <w:t>Anfechtungs- und Strafverfahren konkurrieren: Ein im Anfechtungsverfahren rückgängig gemachtes Geschäft kann strafrechtlich entlastend wirken (Schaden wird "geheilt", relevant für Strafmilderung).</w:t>
      </w:r>
    </w:p>
    <w:p>
      <w:pPr>
        <w:pStyle w:val="ListBullet"/>
      </w:pPr>
      <w:r>
        <w:t xml:space="preserve">Wagner-Hieronymi hat </w:t>
      </w:r>
      <w:r>
        <w:rPr>
          <w:b/>
        </w:rPr>
        <w:t>vier Anfechtungsklagen</w:t>
      </w:r>
      <w:r>
        <w:t xml:space="preserve"> gegen die Wroclaw-Tochter sowie zwei Anfechtungsklagen gegen Pellbach persönlich eingereicht (Stand 28.05.2026).</w:t>
      </w:r>
    </w:p>
    <w:p>
      <w:pPr>
        <w:pStyle w:val="ListBullet"/>
      </w:pPr>
      <w:r>
        <w:t>Verteidigung sollte Anfechtungsklagen aktiv unterstützen, weil Rückführungen das Strafmass mildern (§ 46a StGB, Schadenswiedergutmachung).</w:t>
      </w:r>
    </w:p>
    <w:p>
      <w:pPr>
        <w:pStyle w:val="ListBullet"/>
      </w:pPr>
      <w:r>
        <w:t>Prüfen, ob Pellbach Ehefrau-Vermögen einsetzen kann, um Anfechtungsklage einvernehmlich zu erledigen.</w:t>
      </w:r>
    </w:p>
    <w:p>
      <w:pPr>
        <w:pStyle w:val="Heading3"/>
      </w:pPr>
      <w:r>
        <w:rPr>
          <w:rFonts w:ascii="Times New Roman" w:hAnsi="Times New Roman"/>
        </w:rPr>
        <w:t>4. Risiko Bilanzmanipulation</w:t>
      </w:r>
    </w:p>
    <w:p>
      <w:pPr>
        <w:jc w:val="left"/>
      </w:pPr>
      <w:r>
        <w:t xml:space="preserve">Wenn im Insolvenzverfahren eine Bilanzmanipulation festgestellt wird, könnte dies zu zusätzlicher Anklage nach </w:t>
      </w:r>
      <w:r>
        <w:rPr>
          <w:b/>
        </w:rPr>
        <w:t>§ 283 Abs. 1 Nr. 7 StGB</w:t>
      </w:r>
      <w:r>
        <w:t xml:space="preserve"> (unrichtige Bilanzaufstellung) oder § 331 HGB führen. Prüfen, ob der Jahresabschluss 2024 (Entwurf, vor IV) bereits manipulative Elemente enthielt.</w:t>
      </w:r>
    </w:p>
    <w:p>
      <w:pPr>
        <w:pStyle w:val="Heading3"/>
      </w:pPr>
      <w:r>
        <w:rPr>
          <w:rFonts w:ascii="Times New Roman" w:hAnsi="Times New Roman"/>
        </w:rPr>
        <w:t>5. Anhang</w:t>
      </w:r>
    </w:p>
    <w:p>
      <w:pPr>
        <w:pStyle w:val="ListBullet"/>
      </w:pPr>
      <w:r>
        <w:t>Strafanzeige Insolvenzverwalter (Bd. I, Bl. 1-28)</w:t>
      </w:r>
    </w:p>
    <w:p>
      <w:pPr>
        <w:pStyle w:val="ListBullet"/>
      </w:pPr>
      <w:r>
        <w:t>Schreiben Insolvenzverwalter an Verteidigung vom 22.05.2026 (Sonderkorrespondenz, Pfad M-6)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Pellbach Logistik &amp; Spedition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Pellbach Logistik &amp; Spedition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