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14 — KfW-Coronahilfe Q4/2022: Antrag (Auszug) und Bescheid</w:t>
      </w:r>
    </w:p>
    <w:p>
      <w:pPr>
        <w:jc w:val="left"/>
      </w:pPr>
      <w:r>
        <w:rPr>
          <w:b/>
        </w:rPr>
        <w:t>Teil A:</w:t>
      </w:r>
      <w:r>
        <w:t xml:space="preserve"> Auszug Antrag Pellbach Logistik &amp; Spedition GmbH auf "Überbrückungshilfe IV — Q4/2022" vom 22.11.2022</w:t>
      </w:r>
    </w:p>
    <w:p>
      <w:pPr>
        <w:jc w:val="left"/>
      </w:pPr>
      <w:r>
        <w:rPr>
          <w:b/>
        </w:rPr>
        <w:t>Teil B:</w:t>
      </w:r>
      <w:r>
        <w:t xml:space="preserve"> Bescheid KfW vom 09.12.2022</w:t>
      </w:r>
    </w:p>
    <w:p>
      <w:pPr>
        <w:jc w:val="left"/>
      </w:pPr>
      <w:r>
        <w:rPr>
          <w:b/>
        </w:rPr>
        <w:t>Teil C:</w:t>
      </w:r>
      <w:r>
        <w:t xml:space="preserve"> Verteidigungsanalyse zu § 264 StGB und § 264 IX StGB (subventionserhebliche Tatsachen)</w:t>
      </w:r>
    </w:p>
    <w:p>
      <w:pPr>
        <w:jc w:val="left"/>
      </w:pPr>
      <w:r>
        <w:t>Aktentyp: Antragsausdruck (A), Bescheidkopie (B), interne Pruefung (C)</w:t>
      </w:r>
    </w:p>
    <w:p/>
    <w:p>
      <w:pPr>
        <w:pStyle w:val="Heading2"/>
      </w:pPr>
      <w:r>
        <w:rPr>
          <w:rFonts w:ascii="Times New Roman" w:hAnsi="Times New Roman"/>
        </w:rPr>
        <w:t>Teil A — Antrag Überbrückungshilfe IV Q4/2022 (Auszug)</w:t>
      </w:r>
    </w:p>
    <w:p>
      <w:pPr>
        <w:pStyle w:val="Heading3"/>
      </w:pPr>
      <w:r>
        <w:rPr>
          <w:rFonts w:ascii="Times New Roman" w:hAnsi="Times New Roman"/>
        </w:rPr>
        <w:t>Antragsteller (Stammdaten)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Eintrag</w:t>
            </w:r>
          </w:p>
        </w:tc>
      </w:tr>
      <w:tr>
        <w:tc>
          <w:tcPr>
            <w:tcW w:type="dxa" w:w="4536"/>
          </w:tcPr>
          <w:p>
            <w:r>
              <w:rPr>
                <w:rFonts w:ascii="Times New Roman" w:hAnsi="Times New Roman"/>
                <w:sz w:val="20"/>
              </w:rPr>
              <w:t>Firma</w:t>
            </w:r>
          </w:p>
        </w:tc>
        <w:tc>
          <w:tcPr>
            <w:tcW w:type="dxa" w:w="4536"/>
          </w:tcPr>
          <w:p>
            <w:r>
              <w:rPr>
                <w:rFonts w:ascii="Times New Roman" w:hAnsi="Times New Roman"/>
                <w:sz w:val="20"/>
              </w:rPr>
              <w:t>Pellbach Logistik &amp; Spedition GmbH</w:t>
            </w:r>
          </w:p>
        </w:tc>
      </w:tr>
      <w:tr>
        <w:tc>
          <w:tcPr>
            <w:tcW w:type="dxa" w:w="4536"/>
          </w:tcPr>
          <w:p>
            <w:r>
              <w:rPr>
                <w:rFonts w:ascii="Times New Roman" w:hAnsi="Times New Roman"/>
                <w:sz w:val="20"/>
              </w:rPr>
              <w:t>Anschrift</w:t>
            </w:r>
          </w:p>
        </w:tc>
        <w:tc>
          <w:tcPr>
            <w:tcW w:type="dxa" w:w="4536"/>
          </w:tcPr>
          <w:p>
            <w:r>
              <w:rPr>
                <w:rFonts w:ascii="Times New Roman" w:hAnsi="Times New Roman"/>
                <w:sz w:val="20"/>
              </w:rPr>
              <w:t>Friesenwall 17-21, 50672 Koeln</w:t>
            </w:r>
          </w:p>
        </w:tc>
      </w:tr>
      <w:tr>
        <w:tc>
          <w:tcPr>
            <w:tcW w:type="dxa" w:w="4536"/>
          </w:tcPr>
          <w:p>
            <w:r>
              <w:rPr>
                <w:rFonts w:ascii="Times New Roman" w:hAnsi="Times New Roman"/>
                <w:sz w:val="20"/>
              </w:rPr>
              <w:t>HRB</w:t>
            </w:r>
          </w:p>
        </w:tc>
        <w:tc>
          <w:tcPr>
            <w:tcW w:type="dxa" w:w="4536"/>
          </w:tcPr>
          <w:p>
            <w:r>
              <w:rPr>
                <w:rFonts w:ascii="Times New Roman" w:hAnsi="Times New Roman"/>
                <w:sz w:val="20"/>
              </w:rPr>
              <w:t>14 882</w:t>
            </w:r>
          </w:p>
        </w:tc>
      </w:tr>
      <w:tr>
        <w:tc>
          <w:tcPr>
            <w:tcW w:type="dxa" w:w="4536"/>
          </w:tcPr>
          <w:p>
            <w:r>
              <w:rPr>
                <w:rFonts w:ascii="Times New Roman" w:hAnsi="Times New Roman"/>
                <w:sz w:val="20"/>
              </w:rPr>
              <w:t>Steuernummer</w:t>
            </w:r>
          </w:p>
        </w:tc>
        <w:tc>
          <w:tcPr>
            <w:tcW w:type="dxa" w:w="4536"/>
          </w:tcPr>
          <w:p>
            <w:r>
              <w:rPr>
                <w:rFonts w:ascii="Times New Roman" w:hAnsi="Times New Roman"/>
                <w:sz w:val="20"/>
              </w:rPr>
              <w:t>217/5882/14</w:t>
            </w:r>
          </w:p>
        </w:tc>
      </w:tr>
      <w:tr>
        <w:tc>
          <w:tcPr>
            <w:tcW w:type="dxa" w:w="4536"/>
          </w:tcPr>
          <w:p>
            <w:r>
              <w:rPr>
                <w:rFonts w:ascii="Times New Roman" w:hAnsi="Times New Roman"/>
                <w:sz w:val="20"/>
              </w:rPr>
              <w:t>Geschäftsführer</w:t>
            </w:r>
          </w:p>
        </w:tc>
        <w:tc>
          <w:tcPr>
            <w:tcW w:type="dxa" w:w="4536"/>
          </w:tcPr>
          <w:p>
            <w:r>
              <w:rPr>
                <w:rFonts w:ascii="Times New Roman" w:hAnsi="Times New Roman"/>
                <w:sz w:val="20"/>
              </w:rPr>
              <w:t>Dr. Carlsten H. Pellbach-Eisenacher</w:t>
            </w:r>
          </w:p>
        </w:tc>
      </w:tr>
      <w:tr>
        <w:tc>
          <w:tcPr>
            <w:tcW w:type="dxa" w:w="4536"/>
          </w:tcPr>
          <w:p>
            <w:r>
              <w:rPr>
                <w:rFonts w:ascii="Times New Roman" w:hAnsi="Times New Roman"/>
                <w:sz w:val="20"/>
              </w:rPr>
              <w:t>Steuerberater</w:t>
            </w:r>
          </w:p>
        </w:tc>
        <w:tc>
          <w:tcPr>
            <w:tcW w:type="dxa" w:w="4536"/>
          </w:tcPr>
          <w:p>
            <w:r>
              <w:rPr>
                <w:rFonts w:ascii="Times New Roman" w:hAnsi="Times New Roman"/>
                <w:sz w:val="20"/>
              </w:rPr>
              <w:t>Hubertus Engelmeier StB</w:t>
            </w:r>
          </w:p>
        </w:tc>
      </w:tr>
      <w:tr>
        <w:tc>
          <w:tcPr>
            <w:tcW w:type="dxa" w:w="4536"/>
          </w:tcPr>
          <w:p>
            <w:r>
              <w:rPr>
                <w:rFonts w:ascii="Times New Roman" w:hAnsi="Times New Roman"/>
                <w:sz w:val="20"/>
              </w:rPr>
              <w:t>Beschäftigte (zum 31.12.2022)</w:t>
            </w:r>
          </w:p>
        </w:tc>
        <w:tc>
          <w:tcPr>
            <w:tcW w:type="dxa" w:w="4536"/>
          </w:tcPr>
          <w:p>
            <w:r>
              <w:rPr>
                <w:rFonts w:ascii="Times New Roman" w:hAnsi="Times New Roman"/>
                <w:sz w:val="20"/>
              </w:rPr>
              <w:t>211 (Voll- und Teilzeit)</w:t>
            </w:r>
          </w:p>
        </w:tc>
      </w:tr>
    </w:tbl>
    <w:p>
      <w:pPr>
        <w:pStyle w:val="Heading3"/>
      </w:pPr>
      <w:r>
        <w:rPr>
          <w:rFonts w:ascii="Times New Roman" w:hAnsi="Times New Roman"/>
        </w:rPr>
        <w:t>Antragsgegenstand</w:t>
      </w:r>
    </w:p>
    <w:p>
      <w:pPr>
        <w:jc w:val="left"/>
      </w:pPr>
      <w:r>
        <w:t>Antragsgegenstand ist die Überbrückungshilfe IV für den Zeitraum Q4/2022 (Oktober - Dezember 2022) gemäß Programmrichtlinie 22-04-XX.</w:t>
      </w:r>
    </w:p>
    <w:p>
      <w:pPr>
        <w:pStyle w:val="Heading3"/>
      </w:pPr>
      <w:r>
        <w:rPr>
          <w:rFonts w:ascii="Times New Roman" w:hAnsi="Times New Roman"/>
        </w:rPr>
        <w:t>Angaben zum Umsatzrückgang (kritisch)</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Position</w:t>
            </w:r>
          </w:p>
        </w:tc>
        <w:tc>
          <w:tcPr>
            <w:tcW w:type="dxa" w:w="3024"/>
          </w:tcPr>
          <w:p>
            <w:r>
              <w:rPr>
                <w:rFonts w:ascii="Times New Roman" w:hAnsi="Times New Roman"/>
                <w:b/>
                <w:sz w:val="20"/>
              </w:rPr>
              <w:t>Angabe im Antrag</w:t>
            </w:r>
          </w:p>
        </w:tc>
        <w:tc>
          <w:tcPr>
            <w:tcW w:type="dxa" w:w="3024"/>
          </w:tcPr>
          <w:p>
            <w:r>
              <w:rPr>
                <w:rFonts w:ascii="Times New Roman" w:hAnsi="Times New Roman"/>
                <w:b/>
                <w:sz w:val="20"/>
              </w:rPr>
              <w:t>Tatsächliche Werte (lt. BP 02/2026)</w:t>
            </w:r>
          </w:p>
        </w:tc>
      </w:tr>
      <w:tr>
        <w:tc>
          <w:tcPr>
            <w:tcW w:type="dxa" w:w="3024"/>
          </w:tcPr>
          <w:p>
            <w:r>
              <w:rPr>
                <w:rFonts w:ascii="Times New Roman" w:hAnsi="Times New Roman"/>
                <w:sz w:val="20"/>
              </w:rPr>
              <w:t>Vergleichsumsatz Q4/2019 (Referenzzeitraum laut Programmrichtlinie)</w:t>
            </w:r>
          </w:p>
        </w:tc>
        <w:tc>
          <w:tcPr>
            <w:tcW w:type="dxa" w:w="3024"/>
          </w:tcPr>
          <w:p>
            <w:r>
              <w:rPr>
                <w:rFonts w:ascii="Times New Roman" w:hAnsi="Times New Roman"/>
                <w:sz w:val="20"/>
              </w:rPr>
              <w:t>4.640.000 EUR</w:t>
            </w:r>
          </w:p>
        </w:tc>
        <w:tc>
          <w:tcPr>
            <w:tcW w:type="dxa" w:w="3024"/>
          </w:tcPr>
          <w:p>
            <w:r>
              <w:rPr>
                <w:rFonts w:ascii="Times New Roman" w:hAnsi="Times New Roman"/>
                <w:sz w:val="20"/>
              </w:rPr>
              <w:t>4.640.000 EUR (korrekt)</w:t>
            </w:r>
          </w:p>
        </w:tc>
      </w:tr>
      <w:tr>
        <w:tc>
          <w:tcPr>
            <w:tcW w:type="dxa" w:w="3024"/>
          </w:tcPr>
          <w:p>
            <w:r>
              <w:rPr>
                <w:rFonts w:ascii="Times New Roman" w:hAnsi="Times New Roman"/>
                <w:sz w:val="20"/>
              </w:rPr>
              <w:t>Prognose-Umsatz Q4/2022 (zum Antragszeitpunkt)</w:t>
            </w:r>
          </w:p>
        </w:tc>
        <w:tc>
          <w:tcPr>
            <w:tcW w:type="dxa" w:w="3024"/>
          </w:tcPr>
          <w:p>
            <w:r>
              <w:rPr>
                <w:rFonts w:ascii="Times New Roman" w:hAnsi="Times New Roman"/>
                <w:sz w:val="20"/>
              </w:rPr>
              <w:t>2.876.800 EUR</w:t>
            </w:r>
          </w:p>
        </w:tc>
        <w:tc>
          <w:tcPr>
            <w:tcW w:type="dxa" w:w="3024"/>
          </w:tcPr>
          <w:p>
            <w:r>
              <w:rPr>
                <w:rFonts w:ascii="Times New Roman" w:hAnsi="Times New Roman"/>
                <w:sz w:val="20"/>
              </w:rPr>
              <w:t>(Prognose, nicht überprüfbar)</w:t>
            </w:r>
          </w:p>
        </w:tc>
      </w:tr>
      <w:tr>
        <w:tc>
          <w:tcPr>
            <w:tcW w:type="dxa" w:w="3024"/>
          </w:tcPr>
          <w:p>
            <w:r>
              <w:rPr>
                <w:rFonts w:ascii="Times New Roman" w:hAnsi="Times New Roman"/>
                <w:sz w:val="20"/>
              </w:rPr>
              <w:t>Behaupteter Umsatzrückgang</w:t>
            </w:r>
          </w:p>
        </w:tc>
        <w:tc>
          <w:tcPr>
            <w:tcW w:type="dxa" w:w="3024"/>
          </w:tcPr>
          <w:p>
            <w:r>
              <w:rPr>
                <w:rFonts w:ascii="Times New Roman" w:hAnsi="Times New Roman"/>
                <w:b/>
                <w:sz w:val="20"/>
              </w:rPr>
              <w:t>38 %</w:t>
            </w:r>
          </w:p>
        </w:tc>
        <w:tc>
          <w:tcPr>
            <w:tcW w:type="dxa" w:w="3024"/>
          </w:tcPr>
          <w:p>
            <w:r>
              <w:rPr>
                <w:rFonts w:ascii="Times New Roman" w:hAnsi="Times New Roman"/>
                <w:sz w:val="20"/>
              </w:rPr>
              <w:t>—</w:t>
            </w:r>
          </w:p>
        </w:tc>
      </w:tr>
      <w:tr>
        <w:tc>
          <w:tcPr>
            <w:tcW w:type="dxa" w:w="3024"/>
          </w:tcPr>
          <w:p>
            <w:r>
              <w:rPr>
                <w:rFonts w:ascii="Times New Roman" w:hAnsi="Times New Roman"/>
                <w:sz w:val="20"/>
              </w:rPr>
              <w:t>Tatsächlicher Umsatz Q4/2022 (final, lt. Bilanz)</w:t>
            </w:r>
          </w:p>
        </w:tc>
        <w:tc>
          <w:tcPr>
            <w:tcW w:type="dxa" w:w="3024"/>
          </w:tcPr>
          <w:p>
            <w:r>
              <w:rPr>
                <w:rFonts w:ascii="Times New Roman" w:hAnsi="Times New Roman"/>
                <w:sz w:val="20"/>
              </w:rPr>
              <w:t>—</w:t>
            </w:r>
          </w:p>
        </w:tc>
        <w:tc>
          <w:tcPr>
            <w:tcW w:type="dxa" w:w="3024"/>
          </w:tcPr>
          <w:p>
            <w:r>
              <w:rPr>
                <w:rFonts w:ascii="Times New Roman" w:hAnsi="Times New Roman"/>
                <w:sz w:val="20"/>
              </w:rPr>
              <w:t>4.083.200 EUR</w:t>
            </w:r>
          </w:p>
        </w:tc>
      </w:tr>
      <w:tr>
        <w:tc>
          <w:tcPr>
            <w:tcW w:type="dxa" w:w="3024"/>
          </w:tcPr>
          <w:p>
            <w:r>
              <w:rPr>
                <w:rFonts w:ascii="Times New Roman" w:hAnsi="Times New Roman"/>
                <w:sz w:val="20"/>
              </w:rPr>
              <w:t>Tatsächlicher Rückgang</w:t>
            </w:r>
          </w:p>
        </w:tc>
        <w:tc>
          <w:tcPr>
            <w:tcW w:type="dxa" w:w="3024"/>
          </w:tcPr>
          <w:p>
            <w:r>
              <w:rPr>
                <w:rFonts w:ascii="Times New Roman" w:hAnsi="Times New Roman"/>
                <w:sz w:val="20"/>
              </w:rPr>
              <w:t>—</w:t>
            </w:r>
          </w:p>
        </w:tc>
        <w:tc>
          <w:tcPr>
            <w:tcW w:type="dxa" w:w="3024"/>
          </w:tcPr>
          <w:p>
            <w:r>
              <w:rPr>
                <w:rFonts w:ascii="Times New Roman" w:hAnsi="Times New Roman"/>
                <w:b/>
                <w:sz w:val="20"/>
              </w:rPr>
              <w:t>12 %</w:t>
            </w:r>
          </w:p>
        </w:tc>
      </w:tr>
    </w:tbl>
    <w:p>
      <w:pPr>
        <w:pStyle w:val="Heading3"/>
      </w:pPr>
      <w:r>
        <w:rPr>
          <w:rFonts w:ascii="Times New Roman" w:hAnsi="Times New Roman"/>
        </w:rPr>
        <w:t>Erklärungen Antragsteller</w:t>
      </w:r>
    </w:p>
    <w:p>
      <w:pPr>
        <w:ind w:left="567"/>
      </w:pPr>
      <w:r>
        <w:rPr>
          <w:i/>
        </w:rPr>
        <w:t>"Die Antragstellerin erklärt, dass sie aufgrund anhaltender Corona-Belastungen, Lieferkettenprobleme und stark gestiegener Energie- und Treibstoffkosten einen erheblichen Umsatzrückgang von über 30 % erleidet. Sie versichert die Richtigkeit der Angaben und ist sich bewusst, dass falsche Angaben gemäß § 264 StGB strafbar sein können."</w:t>
      </w:r>
    </w:p>
    <w:p>
      <w:pPr>
        <w:jc w:val="left"/>
      </w:pPr>
      <w:r>
        <w:t xml:space="preserve">Unterschrift: </w:t>
      </w:r>
      <w:r>
        <w:rPr>
          <w:b/>
        </w:rPr>
        <w:t>Dr. Carlsten Pellbach-Eisenacher</w:t>
      </w:r>
      <w:r>
        <w:t xml:space="preserve"> (GF)</w:t>
      </w:r>
    </w:p>
    <w:p>
      <w:pPr>
        <w:jc w:val="left"/>
      </w:pPr>
      <w:r>
        <w:t>Datum: 22.11.2022</w:t>
      </w:r>
    </w:p>
    <w:p>
      <w:pPr>
        <w:jc w:val="left"/>
      </w:pPr>
      <w:r>
        <w:t>Antragsnummer: KfW-UEH4-2022-K-14882-PB</w:t>
      </w:r>
    </w:p>
    <w:p/>
    <w:p>
      <w:pPr>
        <w:pStyle w:val="Heading2"/>
      </w:pPr>
      <w:r>
        <w:rPr>
          <w:rFonts w:ascii="Times New Roman" w:hAnsi="Times New Roman"/>
        </w:rPr>
        <w:t>Teil B — Bescheid KfW vom 09.12.2022</w:t>
      </w:r>
    </w:p>
    <w:p>
      <w:pPr>
        <w:jc w:val="left"/>
      </w:pPr>
      <w:r>
        <w:rPr>
          <w:b/>
        </w:rPr>
        <w:t>Kreditanstalt für Wiederaufbau (KfW), Charlottenstrasse 33/33a, 10117 Berlin</w:t>
      </w:r>
    </w:p>
    <w:p>
      <w:pPr>
        <w:jc w:val="left"/>
      </w:pPr>
      <w:r>
        <w:t>Aktenzeichen: KfW-UEH4-2022-K-14882-PB</w:t>
      </w:r>
    </w:p>
    <w:p>
      <w:pPr>
        <w:pStyle w:val="Heading3"/>
      </w:pPr>
      <w:r>
        <w:rPr>
          <w:rFonts w:ascii="Times New Roman" w:hAnsi="Times New Roman"/>
        </w:rPr>
        <w:t>Tenor</w:t>
      </w:r>
    </w:p>
    <w:p>
      <w:pPr>
        <w:jc w:val="left"/>
      </w:pPr>
      <w:r>
        <w:t xml:space="preserve">Auf den Antrag vom 22.11.2022 wird Überbrückungshilfe IV in Höhe von </w:t>
      </w:r>
      <w:r>
        <w:rPr>
          <w:b/>
        </w:rPr>
        <w:t>320.000 EUR</w:t>
      </w:r>
      <w:r>
        <w:t xml:space="preserve"> gewährt. Die Auszahlung erfolgt auf das im Antrag angegebene Konto IBAN DE92 3705 0299 8888 7711 22 (Volksbank Rhein-Berg).</w:t>
      </w:r>
    </w:p>
    <w:p>
      <w:pPr>
        <w:pStyle w:val="Heading3"/>
      </w:pPr>
      <w:r>
        <w:rPr>
          <w:rFonts w:ascii="Times New Roman" w:hAnsi="Times New Roman"/>
        </w:rPr>
        <w:t>Auszahlungsmodalität</w:t>
      </w:r>
    </w:p>
    <w:p>
      <w:pPr>
        <w:jc w:val="left"/>
      </w:pPr>
      <w:r>
        <w:t>Vorab-Auszahlung 100 % gemäß Programmlogik; Nachweis tatsächlicher Werte bis 31.05.2023; ggf. Nachforderung im Rahmen Schlussabrechnung.</w:t>
      </w:r>
    </w:p>
    <w:p>
      <w:pPr>
        <w:pStyle w:val="Heading3"/>
      </w:pPr>
      <w:r>
        <w:rPr>
          <w:rFonts w:ascii="Times New Roman" w:hAnsi="Times New Roman"/>
        </w:rPr>
        <w:t>Schlussabrechnung</w:t>
      </w:r>
    </w:p>
    <w:p>
      <w:pPr>
        <w:jc w:val="left"/>
      </w:pPr>
      <w:r>
        <w:t>Schlussabrechnung verlangt Nachweis tatsächlicher Werte. Bei Abweichungen zwischen Prognose und Ist erfolgt Rückforderung oder Nachzahlung.</w:t>
      </w:r>
    </w:p>
    <w:p>
      <w:pPr>
        <w:pStyle w:val="Heading3"/>
      </w:pPr>
      <w:r>
        <w:rPr>
          <w:rFonts w:ascii="Times New Roman" w:hAnsi="Times New Roman"/>
        </w:rPr>
        <w:t>Hinweis Strafrecht</w:t>
      </w:r>
    </w:p>
    <w:p>
      <w:pPr>
        <w:ind w:left="567"/>
      </w:pPr>
      <w:r>
        <w:rPr>
          <w:i/>
        </w:rPr>
        <w:t>"Die Antragstellerin wird darauf hingewiesen, dass unrichtige Angaben über subventionserhebliche Tatsachen den Tatbestand des Subventionsbetrugs gemäß § 264 StGB erfüllen können."</w:t>
      </w:r>
    </w:p>
    <w:p>
      <w:pPr>
        <w:jc w:val="left"/>
      </w:pPr>
      <w:r>
        <w:t xml:space="preserve">KfW Berlin, 09.12.2022 — gez. </w:t>
      </w:r>
      <w:r>
        <w:rPr>
          <w:b/>
        </w:rPr>
        <w:t>Stein-Habermann</w:t>
      </w:r>
      <w:r>
        <w:t>, KfW-Förderbearbeitung</w:t>
      </w:r>
    </w:p>
    <w:p/>
    <w:p>
      <w:pPr>
        <w:pStyle w:val="Heading2"/>
      </w:pPr>
      <w:r>
        <w:rPr>
          <w:rFonts w:ascii="Times New Roman" w:hAnsi="Times New Roman"/>
        </w:rPr>
        <w:t>Teil C — Verteidigungsanalyse § 264 StGB</w:t>
      </w:r>
    </w:p>
    <w:p>
      <w:pPr>
        <w:pStyle w:val="Heading3"/>
      </w:pPr>
      <w:r>
        <w:rPr>
          <w:rFonts w:ascii="Times New Roman" w:hAnsi="Times New Roman"/>
        </w:rPr>
        <w:t>1. Tatbestand § 264 Abs. 1 Nr. 1 StGB</w:t>
      </w:r>
    </w:p>
    <w:p>
      <w:pPr>
        <w:jc w:val="left"/>
      </w:pPr>
      <w:r>
        <w:t>Wer einer für die Bewilligung einer Subvention zuständigen Behörde unrichtige oder unvollständige Angaben über subventionserhebliche Tatsachen macht, die für ihn oder einen anderen vorteilhaft sind, wird mit Freiheitsstrafe bis zu fünf Jahren oder mit Geldstrafe bestraft.</w:t>
      </w:r>
    </w:p>
    <w:p>
      <w:pPr>
        <w:pStyle w:val="Heading3"/>
      </w:pPr>
      <w:r>
        <w:rPr>
          <w:rFonts w:ascii="Times New Roman" w:hAnsi="Times New Roman"/>
        </w:rPr>
        <w:t>2. Subventionserhebliche Tatsachen § 264 Abs. 9 StGB</w:t>
      </w:r>
    </w:p>
    <w:p>
      <w:pPr>
        <w:jc w:val="left"/>
      </w:pPr>
      <w:r>
        <w:t>Subventionserheblich sind die Tatsachen, die durch Gesetz oder den Subventionsgeber als solche bezeichnet sind, oder von denen die Bewilligung, Gewährung, Rückforderung, Weitergewährung oder das Belassen einer Subvention oder eines Subventionsvorteils gesetzlich abhängig ist.</w:t>
      </w:r>
    </w:p>
    <w:p>
      <w:pPr>
        <w:jc w:val="left"/>
      </w:pPr>
      <w:r>
        <w:t xml:space="preserve">In der KfW-Überbrückungshilfe IV ist der </w:t>
      </w:r>
      <w:r>
        <w:rPr>
          <w:b/>
        </w:rPr>
        <w:t>Umsatzrückgang</w:t>
      </w:r>
      <w:r>
        <w:t xml:space="preserve"> als zentrale Subventionsvoraussetzung in der Programmrichtlinie ausdrücklich genannt. Die Schwelle lag bei </w:t>
      </w:r>
      <w:r>
        <w:rPr>
          <w:b/>
        </w:rPr>
        <w:t>30 % Rückgang</w:t>
      </w:r>
      <w:r>
        <w:t xml:space="preserve"> im Vergleichszeitraum.</w:t>
      </w:r>
    </w:p>
    <w:p>
      <w:pPr>
        <w:pStyle w:val="Heading3"/>
      </w:pPr>
      <w:r>
        <w:rPr>
          <w:rFonts w:ascii="Times New Roman" w:hAnsi="Times New Roman"/>
        </w:rPr>
        <w:t>3. Tatbestandsprüfung</w:t>
      </w:r>
    </w:p>
    <w:p>
      <w:pPr>
        <w:pStyle w:val="Heading3"/>
      </w:pPr>
      <w:r>
        <w:rPr>
          <w:rFonts w:ascii="Times New Roman" w:hAnsi="Times New Roman"/>
        </w:rPr>
        <w:t>a) Unrichtige Angabe</w:t>
      </w:r>
    </w:p>
    <w:p>
      <w:pPr>
        <w:jc w:val="left"/>
      </w:pPr>
      <w:r>
        <w:t>Im Antrag wurde 38 % Rückgang angegeben. Tatsächlich war der Rückgang lt. späterer Bilanz 12 %. Die Differenz zwischen Prognose und Ist beträgt 26 Prozentpunkte.</w:t>
      </w:r>
    </w:p>
    <w:p>
      <w:pPr>
        <w:jc w:val="left"/>
      </w:pPr>
      <w:r>
        <w:rPr>
          <w:b/>
        </w:rPr>
        <w:t>Verteidigungsansatz:</w:t>
      </w:r>
      <w:r>
        <w:t xml:space="preserve"> Es handelt sich um eine </w:t>
      </w:r>
      <w:r>
        <w:rPr>
          <w:b/>
        </w:rPr>
        <w:t>Prognoseangabe</w:t>
      </w:r>
      <w:r>
        <w:t xml:space="preserve"> (Antragszeitpunkt 22.11.2022, Quartalsende erst 31.12.2022). Eine Prognose ist nicht "unrichtig", solange sie auf Sorgfaltsbasis getätigt wird. Bei Abweichungen zwischen Prognose und Ist kommen Rückzahlungspflicht in der Schlussabrechnung — nicht zwangsläufig Strafbarkeit.</w:t>
      </w:r>
    </w:p>
    <w:p>
      <w:pPr>
        <w:jc w:val="left"/>
      </w:pPr>
      <w:r>
        <w:rPr>
          <w:b/>
        </w:rPr>
        <w:t>Gegenargument StA:</w:t>
      </w:r>
      <w:r>
        <w:t xml:space="preserve"> Die Prognose war zum Antragszeitpunkt </w:t>
      </w:r>
      <w:r>
        <w:rPr>
          <w:b/>
        </w:rPr>
        <w:t>unhaltbar</w:t>
      </w:r>
      <w:r>
        <w:t>, weil im Oktober und November 2022 bereits Umsatzentwicklungen erkennbar waren, die auf nur ca. 12 % Rückgang hindeuteten. Der Antragsteller habe daher wissentlich oder grob fahrlässig eine überhöhte Prognose abgegeben.</w:t>
      </w:r>
    </w:p>
    <w:p>
      <w:pPr>
        <w:pStyle w:val="Heading3"/>
      </w:pPr>
      <w:r>
        <w:rPr>
          <w:rFonts w:ascii="Times New Roman" w:hAnsi="Times New Roman"/>
        </w:rPr>
        <w:t>b) Subventionserheblichkeit</w:t>
      </w:r>
    </w:p>
    <w:p>
      <w:pPr>
        <w:jc w:val="left"/>
      </w:pPr>
      <w:r>
        <w:t>Ja, der Umsatzrückgang ist ausdrücklich subventionserheblich (Programmrichtlinie).</w:t>
      </w:r>
    </w:p>
    <w:p>
      <w:pPr>
        <w:pStyle w:val="Heading3"/>
      </w:pPr>
      <w:r>
        <w:rPr>
          <w:rFonts w:ascii="Times New Roman" w:hAnsi="Times New Roman"/>
        </w:rPr>
        <w:t>c) Vorsatz</w:t>
      </w:r>
    </w:p>
    <w:p>
      <w:pPr>
        <w:jc w:val="left"/>
      </w:pPr>
      <w:r>
        <w:rPr>
          <w:b/>
        </w:rPr>
        <w:t>Verteidigungsansatz:</w:t>
      </w:r>
      <w:r>
        <w:t xml:space="preserve"> Vorsatz ist erschüttert, weil:</w:t>
      </w:r>
    </w:p>
    <w:p>
      <w:pPr>
        <w:pStyle w:val="ListBullet"/>
      </w:pPr>
      <w:r>
        <w:t>Q4/2022 enthielt eine ausserordentliche Belastung durch Energiekosten (Erdgaspreis Dezember 2022 historisch hoch).</w:t>
      </w:r>
    </w:p>
    <w:p>
      <w:pPr>
        <w:pStyle w:val="ListBullet"/>
      </w:pPr>
      <w:r>
        <w:t>Der Q4/2019-Vergleich enthielt einmalige Sonderumsätze (Werkstoff Mehrwald, ca. 720.000 EUR), die in 2022 nicht repetierbar waren.</w:t>
      </w:r>
    </w:p>
    <w:p>
      <w:pPr>
        <w:pStyle w:val="ListBullet"/>
      </w:pPr>
      <w:r>
        <w:t>Wenn man Q4/2019 von diesen Sonderumsätzen bereinigt (Vergleichswert ca. 3,9 Mio EUR statt 4,64 Mio EUR), liegt der Rückgang bei ca. 21 % — also immer noch unterhalb der 30 %-Schwelle, aber deutlich näher an der Antragslogik.</w:t>
      </w:r>
    </w:p>
    <w:p>
      <w:pPr>
        <w:pStyle w:val="ListBullet"/>
      </w:pPr>
      <w:r>
        <w:t>Pellbach hatte gutachterliche Beratung durch Engelmeier in Anspruch genommen, der die Prognose mitbearbeitet hat.</w:t>
      </w:r>
    </w:p>
    <w:p>
      <w:pPr>
        <w:pStyle w:val="Heading3"/>
      </w:pPr>
      <w:r>
        <w:rPr>
          <w:rFonts w:ascii="Times New Roman" w:hAnsi="Times New Roman"/>
        </w:rPr>
        <w:t>d) Vorteilsabsicht</w:t>
      </w:r>
    </w:p>
    <w:p>
      <w:pPr>
        <w:jc w:val="left"/>
      </w:pPr>
      <w:r>
        <w:t>Erfüllt — die Subvention von 320.000 EUR wurde gewährt.</w:t>
      </w:r>
    </w:p>
    <w:p>
      <w:pPr>
        <w:pStyle w:val="Heading3"/>
      </w:pPr>
      <w:r>
        <w:rPr>
          <w:rFonts w:ascii="Times New Roman" w:hAnsi="Times New Roman"/>
        </w:rPr>
        <w:t>4. Strafzumessung § 264 Abs. 2 StGB (Besonders schwerer Fall)</w:t>
      </w:r>
    </w:p>
    <w:p>
      <w:pPr>
        <w:jc w:val="left"/>
      </w:pPr>
      <w:r>
        <w:t>§ 264 Abs. 2 StGB ordnet einen besonders schweren Fall an, wenn der Täter aus grobem Eigennutz handelt, eine grosse Subvention erlangt, oder gewerbsmaessig handelt. Hier:</w:t>
      </w:r>
    </w:p>
    <w:p>
      <w:pPr>
        <w:pStyle w:val="ListBullet"/>
      </w:pPr>
      <w:r>
        <w:t>Aus grobem Eigennutz: nicht ersichtlich. Antrag diente Unternehmensliquidität, nicht überwiegender Selbstbereicherung.</w:t>
      </w:r>
    </w:p>
    <w:p>
      <w:pPr>
        <w:pStyle w:val="ListBullet"/>
      </w:pPr>
      <w:r>
        <w:t>Grosse Subvention: 320.000 EUR — schwelle BGH-Linie ca. 50.000 EUR; ja, "gross" tragbar.</w:t>
      </w:r>
    </w:p>
    <w:p>
      <w:pPr>
        <w:pStyle w:val="ListBullet"/>
      </w:pPr>
      <w:r>
        <w:t>Gewerbsmaessigkeit: nein.</w:t>
      </w:r>
    </w:p>
    <w:p>
      <w:pPr>
        <w:jc w:val="left"/>
      </w:pPr>
      <w:r>
        <w:rPr>
          <w:b/>
        </w:rPr>
        <w:t>Strafzumessung:</w:t>
      </w:r>
      <w:r>
        <w:t xml:space="preserve"> Im Falle einer Verurteilung Strafrahmen 5 Jahre; Verteidigung argumentiert für Strafmass im unteren Drittel mit Beraterverschulden, sorgfältiger Prognose, Sondereinfluss Mehrwald.</w:t>
      </w:r>
    </w:p>
    <w:p>
      <w:pPr>
        <w:pStyle w:val="Heading3"/>
      </w:pPr>
      <w:r>
        <w:rPr>
          <w:rFonts w:ascii="Times New Roman" w:hAnsi="Times New Roman"/>
        </w:rPr>
        <w:t>5. Schadenswiedergutmachung</w:t>
      </w:r>
    </w:p>
    <w:p>
      <w:pPr>
        <w:jc w:val="left"/>
      </w:pPr>
      <w:r>
        <w:t>Die Pellbach Logistik &amp; Spedition GmbH ist insolvent. Eine Rückführung der 320.000 EUR an die KfW kann der Insolvenzverwalter im Rahmen Schlussabrechnung leisten; KfW-Forderung ist dann insolvenzrechtliche Tabellenforderung. Strafzumessungsrelevant: § 46a Nr. 2 StGB (Schadenswiedergutmachung) — nur ggf. über Privatvermögen Pellbach.</w:t>
      </w:r>
    </w:p>
    <w:p>
      <w:pPr>
        <w:pStyle w:val="Heading3"/>
      </w:pPr>
      <w:r>
        <w:rPr>
          <w:rFonts w:ascii="Times New Roman" w:hAnsi="Times New Roman"/>
        </w:rPr>
        <w:t>6. Anhang</w:t>
      </w:r>
    </w:p>
    <w:p>
      <w:pPr>
        <w:pStyle w:val="ListBullet"/>
      </w:pPr>
      <w:r>
        <w:t>Vollständiger Antrag (Sonderband Buchhaltung 2)</w:t>
      </w:r>
    </w:p>
    <w:p>
      <w:pPr>
        <w:pStyle w:val="ListBullet"/>
      </w:pPr>
      <w:r>
        <w:t xml:space="preserve">E-Mail Pellbach an KfW vom 24.11.2022 zur Klarstellung (siehe </w:t>
      </w:r>
      <w:r>
        <w:t>eml/04_pellbach_an_kfw_klarstellung_2022_11_24.eml</w:t>
      </w:r>
      <w:r>
        <w:t>)</w:t>
      </w:r>
    </w:p>
    <w:p>
      <w:pPr>
        <w:pStyle w:val="ListBullet"/>
      </w:pPr>
      <w:r>
        <w:t>BP-Notiz zur Pruefung (siehe Akte 12)</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Auszug Antrag Pellbach Logistik &amp; Spedition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Auszug Antrag Pellbach Logistik &amp; Spedition GmbH</w:t>
    </w:r>
  </w:p>
  <w:p>
    <w:pPr>
      <w:jc w:val="left"/>
      <w:pBdr>
        <w:bottom w:val="single" w:sz="6" w:space="2" w:color="8A6A1F"/>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