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21 — Protokoll Verständigungsversuch § 257c StPO</w:t>
      </w:r>
    </w:p>
    <w:p>
      <w:pPr>
        <w:jc w:val="left"/>
      </w:pPr>
      <w:r>
        <w:rPr>
          <w:b/>
        </w:rPr>
        <w:t>Datum:</w:t>
      </w:r>
      <w:r>
        <w:t xml:space="preserve"> 06.06.2026, 14:00-16:30 Uhr.</w:t>
      </w:r>
    </w:p>
    <w:p>
      <w:pPr>
        <w:jc w:val="left"/>
      </w:pPr>
      <w:r>
        <w:rPr>
          <w:b/>
        </w:rPr>
        <w:t>Ort:</w:t>
      </w:r>
      <w:r>
        <w:t xml:space="preserve"> Landgericht Koeln, Wirtschaftsstrafkammer, Beratungszimmer Raum 1.144.</w:t>
      </w:r>
    </w:p>
    <w:p>
      <w:pPr>
        <w:jc w:val="left"/>
      </w:pPr>
      <w:r>
        <w:rPr>
          <w:b/>
        </w:rPr>
        <w:t>Teilnehmer:</w:t>
      </w:r>
    </w:p>
    <w:p>
      <w:pPr>
        <w:pStyle w:val="ListBullet"/>
      </w:pPr>
      <w:r>
        <w:t>Vorsitzender VRiLG Dr. Werner Trostberg</w:t>
      </w:r>
    </w:p>
    <w:p>
      <w:pPr>
        <w:pStyle w:val="ListBullet"/>
      </w:pPr>
      <w:r>
        <w:t>Beisitzer RiLG Cornelia Hahnenfeld, RiLG Dr. Maximilian von Schopflocher</w:t>
      </w:r>
    </w:p>
    <w:p>
      <w:pPr>
        <w:pStyle w:val="ListBullet"/>
      </w:pPr>
      <w:r>
        <w:t>StA Schamoni-Wieselburg (Schwerpunktstaatsanwaltschaft für Wirtschaftsstrafsachen Koeln)</w:t>
      </w:r>
    </w:p>
    <w:p>
      <w:pPr>
        <w:pStyle w:val="ListBullet"/>
      </w:pPr>
      <w:r>
        <w:t>Verteidigerin Dr. Lia Vellbruck-Eisinger</w:t>
      </w:r>
    </w:p>
    <w:p>
      <w:pPr>
        <w:pStyle w:val="ListBullet"/>
      </w:pPr>
      <w:r>
        <w:t>Beschuldigter Dr. Carlsten Pellbach-Eisenacher (vorgeführt aus JVA Koeln-Ossendorf)</w:t>
      </w:r>
    </w:p>
    <w:p>
      <w:pPr>
        <w:jc w:val="left"/>
      </w:pPr>
      <w:r>
        <w:rPr>
          <w:b/>
        </w:rPr>
        <w:t>Verfahrensrelevanz:</w:t>
      </w:r>
      <w:r>
        <w:t xml:space="preserve"> § 257c StPO Verständigung — Voraussetzungen erfüllt (Hinweis Vorsitzender), Belehrung § 257c IV StPO erfolgt.</w:t>
      </w:r>
    </w:p>
    <w:p/>
    <w:p>
      <w:pPr>
        <w:pStyle w:val="Heading2"/>
      </w:pPr>
      <w:r>
        <w:rPr>
          <w:rFonts w:ascii="Times New Roman" w:hAnsi="Times New Roman"/>
        </w:rPr>
        <w:t>I. Voraussetzungen § 257c StPO</w:t>
      </w:r>
    </w:p>
    <w:p>
      <w:pPr>
        <w:jc w:val="left"/>
      </w:pPr>
      <w:r>
        <w:t>Der Vorsitzende eröffnet das Vorgespräch mit dem Hinweis, dass eine Verständigung nach § 257c StPO grundsätzlich möglich ist, soweit Gegenstand und Inhalte den engen gesetzlichen Voraussetzungen entsprechen. Insbesondere:</w:t>
      </w:r>
    </w:p>
    <w:p>
      <w:pPr>
        <w:pStyle w:val="ListBullet"/>
      </w:pPr>
      <w:r>
        <w:t>Verständigung umfasst die Rechtsfolgen (Strafe).</w:t>
      </w:r>
    </w:p>
    <w:p>
      <w:pPr>
        <w:pStyle w:val="ListBullet"/>
      </w:pPr>
      <w:r>
        <w:t>Voraussetzung: geständige Aeusserung des Angeklagten.</w:t>
      </w:r>
    </w:p>
    <w:p>
      <w:pPr>
        <w:pStyle w:val="ListBullet"/>
      </w:pPr>
      <w:r>
        <w:t>Schweigerecht bleibt unberührt.</w:t>
      </w:r>
    </w:p>
    <w:p>
      <w:pPr>
        <w:pStyle w:val="ListBullet"/>
      </w:pPr>
      <w:r>
        <w:t>Strafrahmen und mildernde Umstände sind transparent.</w:t>
      </w:r>
    </w:p>
    <w:p>
      <w:pPr>
        <w:pStyle w:val="Heading2"/>
      </w:pPr>
      <w:r>
        <w:rPr>
          <w:rFonts w:ascii="Times New Roman" w:hAnsi="Times New Roman"/>
        </w:rPr>
        <w:t>II. Gegenstand der Verständigung — Vorschlag Verteidigung</w:t>
      </w:r>
    </w:p>
    <w:p>
      <w:pPr>
        <w:jc w:val="left"/>
      </w:pPr>
      <w:r>
        <w:t>Die Verteidigung schlägt folgende Verständigung vor: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Anklagepunkt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Anerkennung Verteidigung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Strafmilderung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15a InsO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Anerkennung — Verspätung 8 Wochen statt 3 Wochen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Strafzumessung mildernd: Sanierungsperspektive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266a StGB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Anerkennung — SV-Beiträge Oktober 2024 bis Januar 2025 verspätet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Strafzumessung mildernd: Sanierungsperspektive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266 StGB Untreue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Anerkennung in Höhe von max. 225.000 EUR (Privatentnahmen)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Strafzumessung mildernd: 211k bereits zurückgeführt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370 AO USt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Anerkennung — USt VAZ verspätet/zu niedrig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Strafzumessung mildernd: keine Verkürzung im engeren Sinne, sondern Verzögerung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264 StGB KfW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streitig — Bestreiten Subventionsbetrugs-Vorsatz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Hauptverhandlungs-Thema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283 StGB Bankrott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streitig — Bestreiten Vorsatz Vermögensschmälerung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Hauptverhandlungs-Thema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261 StGB Geldwaesche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streitig — kein Vorsatz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Hauptverhandlungs-Thema</w:t>
            </w:r>
          </w:p>
        </w:tc>
      </w:tr>
    </w:tbl>
    <w:p>
      <w:pPr>
        <w:jc w:val="left"/>
      </w:pPr>
      <w:r>
        <w:rPr>
          <w:b/>
        </w:rPr>
        <w:t>Strafvorschlag Verteidigung</w:t>
      </w:r>
      <w:r>
        <w:t xml:space="preserve">: Gesamtstrafe </w:t>
      </w:r>
      <w:r>
        <w:rPr>
          <w:b/>
        </w:rPr>
        <w:t>maximal 2 Jahre Freiheitsstrafe zur Bewährung</w:t>
      </w:r>
      <w:r>
        <w:t xml:space="preserve"> (§ 56 II StGB) bei Aussetzung mit Bewährungsauflagen (TOA, Schadenswiedergutmachung, Geldauflage zugunsten gemeinnütziger Einrichtung).</w:t>
      </w:r>
    </w:p>
    <w:p>
      <w:pPr>
        <w:pStyle w:val="Heading2"/>
      </w:pPr>
      <w:r>
        <w:rPr>
          <w:rFonts w:ascii="Times New Roman" w:hAnsi="Times New Roman"/>
        </w:rPr>
        <w:t>III. Position StA</w:t>
      </w:r>
    </w:p>
    <w:p>
      <w:pPr>
        <w:jc w:val="left"/>
      </w:pPr>
      <w:r>
        <w:t>Die StA Schamoni-Wieselburg erklärt:</w:t>
      </w:r>
    </w:p>
    <w:p>
      <w:pPr>
        <w:pStyle w:val="ListBullet"/>
      </w:pPr>
      <w:r>
        <w:t>Anerkennt grundsätzlich die Verständigungsbereitschaft des Beschuldigten.</w:t>
      </w:r>
    </w:p>
    <w:p>
      <w:pPr>
        <w:pStyle w:val="ListBullet"/>
      </w:pPr>
      <w:r>
        <w:rPr>
          <w:b/>
        </w:rPr>
        <w:t>Streitig</w:t>
      </w:r>
      <w:r>
        <w:t xml:space="preserve"> bleiben § 264 (KfW) und § 283 (Bankrott) — Beweisaufnahme hierzu unverzichtbar.</w:t>
      </w:r>
    </w:p>
    <w:p>
      <w:pPr>
        <w:pStyle w:val="ListBullet"/>
      </w:pPr>
      <w:r>
        <w:rPr>
          <w:b/>
        </w:rPr>
        <w:t>Strafmass-Vorstellung StA</w:t>
      </w:r>
      <w:r>
        <w:t xml:space="preserve">: Gesamtstrafe </w:t>
      </w:r>
      <w:r>
        <w:rPr>
          <w:b/>
        </w:rPr>
        <w:t>3 Jahre 6 Monate</w:t>
      </w:r>
      <w:r>
        <w:t xml:space="preserve"> (kein Bewaehrungs-Spielraum).</w:t>
      </w:r>
    </w:p>
    <w:p>
      <w:pPr>
        <w:pStyle w:val="ListBullet"/>
      </w:pPr>
      <w:r>
        <w:t>Begründung StA: Schadensvolumen über 1 Mio. EUR; mehrere Tatkomplexe; Vorsatz-Indizien aus E-Mail- und Chat-Konvolut; Wroclaw-Auslandszahlungen erhöhen Schwere.</w:t>
      </w:r>
    </w:p>
    <w:p>
      <w:pPr>
        <w:pStyle w:val="Heading2"/>
      </w:pPr>
      <w:r>
        <w:rPr>
          <w:rFonts w:ascii="Times New Roman" w:hAnsi="Times New Roman"/>
        </w:rPr>
        <w:t>IV. Strafrahmen-Überlegung Kammer</w:t>
      </w:r>
    </w:p>
    <w:p>
      <w:pPr>
        <w:jc w:val="left"/>
      </w:pPr>
      <w:r>
        <w:t>Der Vorsitzende erklärt ohne Vorgriff auf die Hauptverhandlung:</w:t>
      </w:r>
    </w:p>
    <w:p>
      <w:pPr>
        <w:pStyle w:val="ListBullet"/>
      </w:pPr>
      <w:r>
        <w:t xml:space="preserve">Bei den angeerkannten Komplexen (§ 15a InsO, § 266a, § 266, § 370 AO USt) sieht die Kammer einen </w:t>
      </w:r>
      <w:r>
        <w:rPr>
          <w:b/>
        </w:rPr>
        <w:t>Strafrahmen unten 1 Jahr 6 Monate bis 2 Jahre 6 Monate</w:t>
      </w:r>
      <w:r>
        <w:t xml:space="preserve"> als realistisch.</w:t>
      </w:r>
    </w:p>
    <w:p>
      <w:pPr>
        <w:pStyle w:val="ListBullet"/>
      </w:pPr>
      <w:r>
        <w:t xml:space="preserve">Bei voller Belastung in den streitigen Komplexen (§ 264 KfW, § 283 Bankrott, § 261 Geldwaesche) wäre ein Gesamtstrafrahmen </w:t>
      </w:r>
      <w:r>
        <w:rPr>
          <w:b/>
        </w:rPr>
        <w:t>3 Jahre bis 4 Jahre</w:t>
      </w:r>
      <w:r>
        <w:t xml:space="preserve"> realistisch.</w:t>
      </w:r>
    </w:p>
    <w:p>
      <w:pPr>
        <w:pStyle w:val="ListBullet"/>
      </w:pPr>
      <w:r>
        <w:t xml:space="preserve">Eine </w:t>
      </w:r>
      <w:r>
        <w:rPr>
          <w:b/>
        </w:rPr>
        <w:t>Aussetzung zur Bewährung § 56 II StGB</w:t>
      </w:r>
      <w:r>
        <w:t xml:space="preserve"> wäre bei Gesamtstrafe über 2 Jahre nur unter besonderen Umständen möglich — Verteidigung müsste eine kriminalprognostische Vor-Lage erbringen, sich verbindlich an Schadenswiedergutmachung beteiligen und eine Beraterausbildung in Insolvenzrecht antreten.</w:t>
      </w:r>
    </w:p>
    <w:p>
      <w:pPr>
        <w:pStyle w:val="Heading2"/>
      </w:pPr>
      <w:r>
        <w:rPr>
          <w:rFonts w:ascii="Times New Roman" w:hAnsi="Times New Roman"/>
        </w:rPr>
        <w:t>V. Ergebnis Vorgespräch</w:t>
      </w:r>
    </w:p>
    <w:p>
      <w:pPr>
        <w:pStyle w:val="ListBullet"/>
      </w:pPr>
      <w:r>
        <w:t>Keine endgültige Verständigung erreicht.</w:t>
      </w:r>
    </w:p>
    <w:p>
      <w:pPr>
        <w:pStyle w:val="ListBullet"/>
      </w:pPr>
      <w:r>
        <w:t>Beide Seiten erklären sich bereit, in Hauptverhandlung weiter zu verhandeln.</w:t>
      </w:r>
    </w:p>
    <w:p>
      <w:pPr>
        <w:pStyle w:val="ListBullet"/>
      </w:pPr>
      <w:r>
        <w:t>Kammer stellt nicht in Aussicht, dass eine Strafe unter 2 Jahre bei vollständiger Anerkennung der angeerkannten Komplexe machbar ist — nicht bei voller Anklageerstreckung.</w:t>
      </w:r>
    </w:p>
    <w:p>
      <w:pPr>
        <w:pStyle w:val="ListBullet"/>
      </w:pPr>
      <w:r>
        <w:t>Verteidigung erwägt erneut, ob § 153a StPO Einstellung (bei wirtschaftlich nicht mehr nachholbarem Erfolg) der bessere Weg ist — eher nicht, weil Schadensvolumen zu hoch.</w:t>
      </w:r>
    </w:p>
    <w:p>
      <w:pPr>
        <w:pStyle w:val="Heading2"/>
      </w:pPr>
      <w:r>
        <w:rPr>
          <w:rFonts w:ascii="Times New Roman" w:hAnsi="Times New Roman"/>
        </w:rPr>
        <w:t>VI. Belehrung § 257c IV StPO</w:t>
      </w:r>
    </w:p>
    <w:p>
      <w:pPr>
        <w:jc w:val="left"/>
      </w:pPr>
      <w:r>
        <w:t>Der Vorsitzende belehrt den Angeklagten, dass die Verständigung scheitern kann und das Bekenntnis dann nicht gegen ihn verwendet werden darf. Der Angeklagte erklärt sein Einverständnis.</w:t>
      </w:r>
    </w:p>
    <w:p/>
    <w:p>
      <w:pPr>
        <w:pStyle w:val="Heading2"/>
      </w:pPr>
      <w:r>
        <w:rPr>
          <w:rFonts w:ascii="Times New Roman" w:hAnsi="Times New Roman"/>
        </w:rPr>
        <w:t>Verteidigungs-Bewertung (intern, nach Vorgespräch)</w:t>
      </w:r>
    </w:p>
    <w:p>
      <w:pPr>
        <w:pStyle w:val="ListBullet"/>
      </w:pPr>
      <w:r>
        <w:rPr>
          <w:b/>
        </w:rPr>
        <w:t>Kern-Ergebnis</w:t>
      </w:r>
      <w:r>
        <w:t xml:space="preserve">: ohne Verständigung im Voraus dürfte das Strafmass bei voller Hauptverhandlung mit Beweisaufnahme bei mind. 3 Jahren liegen — d.h. </w:t>
      </w:r>
      <w:r>
        <w:rPr>
          <w:b/>
        </w:rPr>
        <w:t>keine Bewährung</w:t>
      </w:r>
      <w:r>
        <w:t xml:space="preserve"> möglich.</w:t>
      </w:r>
    </w:p>
    <w:p>
      <w:pPr>
        <w:pStyle w:val="ListBullet"/>
      </w:pPr>
      <w:r>
        <w:rPr>
          <w:b/>
        </w:rPr>
        <w:t>Verteidigerstrategie Hauptverhandlung</w:t>
      </w:r>
      <w:r>
        <w:t>: weitestmoegliche Anerkennung in den weniger streitigen Komplexen + Bestreiten in § 264 und § 261 mit aussagepsychologischem Gutachten und Bankenauswertung Edelweiss.</w:t>
      </w:r>
    </w:p>
    <w:p>
      <w:pPr>
        <w:pStyle w:val="ListBullet"/>
      </w:pPr>
      <w:r>
        <w:rPr>
          <w:b/>
        </w:rPr>
        <w:t>Hilfsantrag in HV</w:t>
      </w:r>
      <w:r>
        <w:t>: Antrag auf Aussetzung § 56 II StGB nur dann, wenn Gesamtstrafe unter 2 Jahre 6 Monate landet.</w:t>
      </w:r>
    </w:p>
    <w:p>
      <w:pPr>
        <w:pStyle w:val="ListBullet"/>
      </w:pPr>
      <w:r>
        <w:rPr>
          <w:b/>
        </w:rPr>
        <w:t>Schadenswiedergutmachung § 46a StGB</w:t>
      </w:r>
      <w:r>
        <w:t xml:space="preserve"> (Ausgleichszahlung Insolvenzmasse) als Strafmilderung in HV vortragen.</w:t>
      </w:r>
    </w:p>
    <w:p>
      <w:pPr>
        <w:pStyle w:val="ListBullet"/>
      </w:pPr>
      <w:r>
        <w:t>Vor nächster HV-Sitzung: weitere Schadenswiedergutmachung-Tranche (100k) anbieten, um Bewährungsperspektive zu stärken.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Koeln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Koeln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Wirtschaftsstrafkammer, Beratungszimmer Raum 1.144.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