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22 — Hilfsbeweisantrag § 244 III StPO — aussagepsychologisches Sachverstaendigengutachten Quasthoff</w:t>
      </w:r>
    </w:p>
    <w:p>
      <w:pPr>
        <w:jc w:val="left"/>
      </w:pPr>
      <w:r>
        <w:rPr>
          <w:b/>
        </w:rPr>
        <w:t>Verteidigerin:</w:t>
      </w:r>
      <w:r>
        <w:t xml:space="preserve"> Dr. Lia Vellbruck-Eisinger, Fachanwältin für Strafrecht</w:t>
      </w:r>
    </w:p>
    <w:p>
      <w:pPr>
        <w:jc w:val="left"/>
      </w:pPr>
      <w:r>
        <w:rPr>
          <w:b/>
        </w:rPr>
        <w:t>Verfahren:</w:t>
      </w:r>
      <w:r>
        <w:t xml:space="preserve"> LG Koeln, Wirtschaftsstrafkammer, Az. 117 KLs 14/26</w:t>
      </w:r>
    </w:p>
    <w:p>
      <w:pPr>
        <w:jc w:val="left"/>
      </w:pPr>
      <w:r>
        <w:rPr>
          <w:b/>
        </w:rPr>
        <w:t>Mandant:</w:t>
      </w:r>
      <w:r>
        <w:t xml:space="preserve"> Dr. Carlsten Pellbach-Eisenacher (Angeklagter)</w:t>
      </w:r>
    </w:p>
    <w:p>
      <w:pPr>
        <w:jc w:val="left"/>
      </w:pPr>
      <w:r>
        <w:rPr>
          <w:b/>
        </w:rPr>
        <w:t>Datum Entwurf:</w:t>
      </w:r>
      <w:r>
        <w:t xml:space="preserve"> 02.06.2026</w:t>
      </w:r>
    </w:p>
    <w:p/>
    <w:p>
      <w:pPr>
        <w:pStyle w:val="Heading2"/>
      </w:pPr>
      <w:r>
        <w:rPr>
          <w:rFonts w:ascii="Times New Roman" w:hAnsi="Times New Roman"/>
        </w:rPr>
        <w:t>An das Landgericht Koeln, Wirtschaftsstrafkammer</w:t>
      </w:r>
    </w:p>
    <w:p>
      <w:pPr>
        <w:jc w:val="left"/>
      </w:pPr>
      <w:r>
        <w:t>In der Strafsache gegen Dr. Carlsten Pellbach-Eisenacher (Az. 117 KLs 14/26) stelle ich hilfsweise</w:t>
      </w:r>
    </w:p>
    <w:p>
      <w:pPr>
        <w:jc w:val="left"/>
      </w:pPr>
      <w:r>
        <w:rPr>
          <w:b/>
        </w:rPr>
        <w:t>Beweisantrag § 244 III StPO</w:t>
      </w:r>
      <w:r>
        <w:t>:</w:t>
      </w:r>
    </w:p>
    <w:p>
      <w:pPr>
        <w:jc w:val="left"/>
      </w:pPr>
      <w:r>
        <w:t>I. Es wird beantragt, ein aussagepsychologisches Sachverstaendigengutachten über die belastende Aussage der Zeugin Mira Quasthoff einzuholen.</w:t>
      </w:r>
    </w:p>
    <w:p>
      <w:pPr>
        <w:jc w:val="left"/>
      </w:pPr>
      <w:r>
        <w:t xml:space="preserve">II. Als Sachverständiger wird vorgeschlagen: </w:t>
      </w:r>
      <w:r>
        <w:rPr>
          <w:b/>
        </w:rPr>
        <w:t>Prof. Dr. med. Dipl.-Psych. Holm Hoeppner</w:t>
      </w:r>
      <w:r>
        <w:t>, Universität Koeln, Institut für Rechtspsychologie, oder ein anderer von der Kammer zu bestimmender Sachverständiger mit Methodenexpertise nach den Anforderungen des BGH-Urteils vom 30.07.1999 — 1 StR 618/98 (BGHSt 45, 164).</w:t>
      </w:r>
    </w:p>
    <w:p>
      <w:pPr>
        <w:jc w:val="left"/>
      </w:pPr>
      <w:r>
        <w:t>III. Das Gutachten soll sich zu folgenden Beweisfragen aeussern:</w:t>
      </w:r>
    </w:p>
    <w:p>
      <w:pPr>
        <w:pStyle w:val="ListNumber"/>
      </w:pPr>
      <w:r>
        <w:t xml:space="preserve">Ist die Aussage der Zeugin Mira Quasthoff vom 18.03.2026 (KPI Koeln) und vom 14.04.2026 (StA Koeln) </w:t>
      </w:r>
      <w:r>
        <w:rPr>
          <w:b/>
        </w:rPr>
        <w:t>insgesamt erlebnisbasiert</w:t>
      </w:r>
      <w:r>
        <w:t>?</w:t>
      </w:r>
    </w:p>
    <w:p>
      <w:pPr>
        <w:pStyle w:val="ListNumber"/>
      </w:pPr>
      <w:r>
        <w:t xml:space="preserve">Welche </w:t>
      </w:r>
      <w:r>
        <w:rPr>
          <w:b/>
        </w:rPr>
        <w:t>Realkennzeichen</w:t>
      </w:r>
      <w:r>
        <w:t xml:space="preserve"> nach dem Klassifikationsschema von Steller/Koehnken weist die Aussage auf, welche fehlen?</w:t>
      </w:r>
    </w:p>
    <w:p>
      <w:pPr>
        <w:pStyle w:val="ListNumber"/>
      </w:pPr>
      <w:r>
        <w:t xml:space="preserve">Wie ist die </w:t>
      </w:r>
      <w:r>
        <w:rPr>
          <w:b/>
        </w:rPr>
        <w:t>Konstanz</w:t>
      </w:r>
      <w:r>
        <w:t xml:space="preserve"> zwischen Erstvernehmung 18.03.2026 und Folgevernehmung 14.04.2026 zu bewerten — insbesondere im Hinblick auf die abweichenden Datumsangaben (E-Mail-Konvolut vom 15.10.2024 vs. 22.10.2024; Bargeldabhebungen 04.11.2024 vs. 11.11.2024) und die Sequenzierung der Ereignisse?</w:t>
      </w:r>
    </w:p>
    <w:p>
      <w:pPr>
        <w:pStyle w:val="ListNumber"/>
      </w:pPr>
      <w:r>
        <w:t xml:space="preserve">Welche </w:t>
      </w:r>
      <w:r>
        <w:rPr>
          <w:b/>
        </w:rPr>
        <w:t>Genese</w:t>
      </w:r>
      <w:r>
        <w:t xml:space="preserve"> hat die Belastungsaussage angesichts der dokumentierten Vor-Beziehungsdynamik (Personalakte-Vermerk Pellbach vom 15.12.2024 mit Vorwürfen wegen eigener Spesendifferenzen 7.840 EUR; Drohung mit arbeitsrechtlichen Konsequenzen; Aufsichtsrat-Anzeige Quasthoff vom 02.02.2025)?</w:t>
      </w:r>
    </w:p>
    <w:p>
      <w:pPr>
        <w:pStyle w:val="ListNumber"/>
      </w:pPr>
      <w:r>
        <w:t xml:space="preserve">Sind die in der Aussage genannten Wahrnehmungs- und Erinnerungsleistungen mit dem </w:t>
      </w:r>
      <w:r>
        <w:rPr>
          <w:b/>
        </w:rPr>
        <w:t>Erinnerungsverlauf bei zeitlich zurückliegenden Ereignissen</w:t>
      </w:r>
      <w:r>
        <w:t xml:space="preserve"> und den Bedingungen ihrer Vernehmung vereinbar?</w:t>
      </w:r>
    </w:p>
    <w:p>
      <w:pPr>
        <w:pStyle w:val="ListNumber"/>
      </w:pPr>
      <w:r>
        <w:t xml:space="preserve">Welche </w:t>
      </w:r>
      <w:r>
        <w:rPr>
          <w:b/>
        </w:rPr>
        <w:t>konkurrierende Hypothesen</w:t>
      </w:r>
      <w:r>
        <w:t xml:space="preserve"> sind methodisch zu prüfen (Nullhypothese: Aussage erlebnisbasiert; H1: Aussage suggestiv durch Konflikt überlagert; H2: bewusste Falschbelastung aus Motiv; H3: Wahrnehmungsverzerrung durch belastete Beziehung)?</w:t>
      </w:r>
    </w:p>
    <w:p>
      <w:pPr>
        <w:pStyle w:val="Heading2"/>
      </w:pPr>
      <w:r>
        <w:rPr>
          <w:rFonts w:ascii="Times New Roman" w:hAnsi="Times New Roman"/>
        </w:rPr>
        <w:t>Begründung</w:t>
      </w:r>
    </w:p>
    <w:p>
      <w:pPr>
        <w:pStyle w:val="Heading3"/>
      </w:pPr>
      <w:r>
        <w:rPr>
          <w:rFonts w:ascii="Times New Roman" w:hAnsi="Times New Roman"/>
        </w:rPr>
        <w:t>1. Bedeutung der Beweisaussage</w:t>
      </w:r>
    </w:p>
    <w:p>
      <w:pPr>
        <w:jc w:val="left"/>
      </w:pPr>
      <w:r>
        <w:t xml:space="preserve">Die Anklageschrift stützt sich in fünf von sieben Anklagepunkten zentral auf die Aussage der Zeugin Quasthoff. Es liegt eine klassische </w:t>
      </w:r>
      <w:r>
        <w:rPr>
          <w:b/>
        </w:rPr>
        <w:t>Aussage-gegen-Aussage-Konstellation</w:t>
      </w:r>
      <w:r>
        <w:t xml:space="preserve"> vor (BGH staend. Rspr.). In dieser Konstellation ist nach höchstrichterlicher Rechtsprechung die Glaubhaftigkeit der Belastungsaussage besonders sorgfältig zu prüfen.</w:t>
      </w:r>
    </w:p>
    <w:p>
      <w:pPr>
        <w:pStyle w:val="Heading3"/>
      </w:pPr>
      <w:r>
        <w:rPr>
          <w:rFonts w:ascii="Times New Roman" w:hAnsi="Times New Roman"/>
        </w:rPr>
        <w:t>2. Methodische Anforderungen nach BGH</w:t>
      </w:r>
    </w:p>
    <w:p>
      <w:pPr>
        <w:jc w:val="left"/>
      </w:pPr>
      <w:r>
        <w:t xml:space="preserve">Das BGH-Grundsatzurteil vom 30.07.1999 — 1 StR 618/98 — fordert die </w:t>
      </w:r>
      <w:r>
        <w:rPr>
          <w:b/>
        </w:rPr>
        <w:t>Hypothesen-gegen-Hypothesen-Methode</w:t>
      </w:r>
      <w:r>
        <w:t>. Ausgangspunkt ist die Null-Hypothese, dass die Aussage nicht erlebnisbasiert ist. Diese ist mit den konkurrierenden Hypothesen zu konfrontieren. Erst wenn die Null-Hypothese mit aussagepsychologischer Methodik widerlegt werden kann, ist die Aussage als erlebnisbasiert zu werten.</w:t>
      </w:r>
    </w:p>
    <w:p>
      <w:pPr>
        <w:pStyle w:val="Heading3"/>
      </w:pPr>
      <w:r>
        <w:rPr>
          <w:rFonts w:ascii="Times New Roman" w:hAnsi="Times New Roman"/>
        </w:rPr>
        <w:t>3. Konkrete Indizien für Verifikationsbedarf</w:t>
      </w:r>
    </w:p>
    <w:p>
      <w:pPr>
        <w:pStyle w:val="ListBullet"/>
      </w:pPr>
      <w:r>
        <w:rPr>
          <w:b/>
        </w:rPr>
        <w:t>Inkonstanz zwischen V1 und V2</w:t>
      </w:r>
      <w:r>
        <w:t>: Die Zeugin nennt am 18.03.2026 das Datum 15.10.2024 als ersten Spesen-Konflikt, am 14.04.2026 das Datum 22.10.2024. Sie nennt am 18.03.2026 vier Bargeldabhebungen im Oktober, am 14.04.2026 sechs. Diese Inkonstanzen können erlebnisbasiert (Erinnerungslucken) oder durch Rekonstruktion mit Mailverkehr überlagert sein.</w:t>
      </w:r>
    </w:p>
    <w:p>
      <w:pPr>
        <w:pStyle w:val="ListBullet"/>
      </w:pPr>
      <w:r>
        <w:rPr>
          <w:b/>
        </w:rPr>
        <w:t>Motiv-Indizien</w:t>
      </w:r>
      <w:r>
        <w:t>: Personalakte-Vermerk Pellbach vom 15.12.2024 mit Vorwurf gegen Quasthoff (eigene Spesendifferenzen 7.840 EUR); arbeitsrechtliche Konsequenzen-Drohung; Trennung Quasthoff aus Pellbach Logistik am 31.03.2025.</w:t>
      </w:r>
    </w:p>
    <w:p>
      <w:pPr>
        <w:pStyle w:val="ListBullet"/>
      </w:pPr>
      <w:r>
        <w:rPr>
          <w:b/>
        </w:rPr>
        <w:t>Suggestive Vernehmungsumstaende</w:t>
      </w:r>
      <w:r>
        <w:t>: V1 18.03.2026 erfolgte 30 Tage nach Bekanntgabe des Ermittlungsverfahrens gegen Pellbach in der Tagespresse (Kölner Stadt-Anzeiger vom 16.02.2026). V2 14.04.2026 erfolgte nach mehreren Vor-Gesprächen mit der Schwerpunktstaatsanwaltschaft, wie Quasthoff selbst bekundet.</w:t>
      </w:r>
    </w:p>
    <w:p>
      <w:pPr>
        <w:pStyle w:val="ListBullet"/>
      </w:pPr>
      <w:r>
        <w:rPr>
          <w:b/>
        </w:rPr>
        <w:t>Genesefaktor "Aufsichtsrat-Anzeige"</w:t>
      </w:r>
      <w:r>
        <w:t>: Die Zeugin hat ihre Belastungsthematik schon am 02.02.2025 strukturiert als Anzeige formuliert — d.h. mehr als ein Jahr vor V1 lag eine konsolidierte Belastungs-Narrative vor.</w:t>
      </w:r>
    </w:p>
    <w:p>
      <w:pPr>
        <w:pStyle w:val="Heading3"/>
      </w:pPr>
      <w:r>
        <w:rPr>
          <w:rFonts w:ascii="Times New Roman" w:hAnsi="Times New Roman"/>
        </w:rPr>
        <w:t>4. Notwendigkeit des Gutachtens</w:t>
      </w:r>
    </w:p>
    <w:p>
      <w:pPr>
        <w:jc w:val="left"/>
      </w:pPr>
      <w:r>
        <w:t>Aus den genannten Indizien ergibt sich, dass die Kammer ohne aussagepsychologische Sachverstaendigenhilfe die Glaubhaftigkeit der Belastungsaussage methodisch korrekt nicht beurteilen kann. Die Kammer ist zwar grundsätzlich selbst zur Glaubhaftigkeitspruefung berufen (BGH staend. Rspr.); die methodische Komplexität der vorliegenden Aussage-gegen-Aussage-Konstellation mit dokumentiertem Motiv-Konflikt und Inkonstanz ist jedoch ohne fachkundige Hilfe nicht zu bewältigen.</w:t>
      </w:r>
    </w:p>
    <w:p>
      <w:pPr>
        <w:pStyle w:val="Heading3"/>
      </w:pPr>
      <w:r>
        <w:rPr>
          <w:rFonts w:ascii="Times New Roman" w:hAnsi="Times New Roman"/>
        </w:rPr>
        <w:t>5. Abgrenzung</w:t>
      </w:r>
    </w:p>
    <w:p>
      <w:pPr>
        <w:jc w:val="left"/>
      </w:pPr>
      <w:r>
        <w:t xml:space="preserve">Es wird ausdrücklich klargestellt, dass es nicht um die </w:t>
      </w:r>
      <w:r>
        <w:rPr>
          <w:b/>
        </w:rPr>
        <w:t>Glaubwürdigkeit</w:t>
      </w:r>
      <w:r>
        <w:t xml:space="preserve"> der Zeugin als Person geht, sondern um die methodisch saubere Pruefung der </w:t>
      </w:r>
      <w:r>
        <w:rPr>
          <w:b/>
        </w:rPr>
        <w:t>Glaubhaftigkeit der konkreten Belastungsaussage</w:t>
      </w:r>
      <w:r>
        <w:t>. Diese Unterscheidung ist nach BGH staend. Rspr. zwingend.</w:t>
      </w:r>
    </w:p>
    <w:p>
      <w:pPr>
        <w:pStyle w:val="Heading2"/>
      </w:pPr>
      <w:r>
        <w:rPr>
          <w:rFonts w:ascii="Times New Roman" w:hAnsi="Times New Roman"/>
        </w:rPr>
        <w:t>Präsentation in der Hauptverhandlung</w:t>
      </w:r>
    </w:p>
    <w:p>
      <w:pPr>
        <w:jc w:val="left"/>
      </w:pPr>
      <w:r>
        <w:t>Im Falle der Ablehnung dieses Hilfsbeweisantrags werde ich diese Begründung im Rahmen der Beweiswuerdigung im Plädoyer aufgreifen und auf die methodischen Defizite einer rein gerichtlichen Beweiswuerdigung hinweisen.</w:t>
      </w:r>
    </w:p>
    <w:p>
      <w:pPr>
        <w:jc w:val="left"/>
      </w:pPr>
      <w:r>
        <w:t>Mit kollegialen Gruessen</w:t>
      </w:r>
    </w:p>
    <w:p>
      <w:pPr>
        <w:jc w:val="left"/>
      </w:pPr>
      <w:r>
        <w:t>Dr. Lia Vellbruck-Eisinger</w:t>
      </w:r>
    </w:p>
    <w:p>
      <w:pPr>
        <w:jc w:val="left"/>
      </w:pPr>
      <w:r>
        <w:t>Fachanwältin für Strafrecht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Koeln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Koeln</w:t>
    </w:r>
  </w:p>
  <w:p>
    <w:pPr>
      <w:jc w:val="left"/>
      <w:pBdr>
        <w:bottom w:val="single" w:sz="6" w:space="2" w:color="3B3F45"/>
      </w:pBdr>
    </w:pPr>
    <w:r>
      <w:rPr>
        <w:rFonts w:ascii="Times New Roman" w:hAnsi="Times New Roman"/>
        <w:color w:val="6B6B66"/>
        <w:sz w:val="16"/>
      </w:rPr>
      <w:t>Wirtschaftsstrafkammer · Az. 117 KLs 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