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 w:val="0"/>
          <w:i/>
          <w:color w:val="808080"/>
          <w:sz w:val="18"/>
        </w:rPr>
        <w:t>MWK/2024/SIL-001  |  STRENG VERTRAULICH</w:t>
      </w:r>
    </w:p>
    <w:p>
      <w:pPr>
        <w:pStyle w:val="Heading1"/>
      </w:pPr>
      <w:r>
        <w:rPr>
          <w:rFonts w:ascii="Calibri" w:hAnsi="Calibri"/>
          <w:sz w:val="28"/>
        </w:rPr>
        <w:t>Virtual Data Room — Index Phase 2</w:t>
      </w:r>
    </w:p>
    <w:p>
      <w:r>
        <w:rPr>
          <w:rFonts w:ascii="Calibri" w:hAnsi="Calibri"/>
          <w:b w:val="0"/>
          <w:i/>
          <w:sz w:val="20"/>
        </w:rPr>
        <w:t>Projekt Silberfalke  |  Zielgesellschaft: Solaris Industries AG  |  Stand: 28. November 2024</w:t>
      </w:r>
    </w:p>
    <w:p>
      <w:r>
        <w:rPr>
          <w:rFonts w:ascii="Calibri" w:hAnsi="Calibri"/>
          <w:b w:val="0"/>
          <w:i w:val="0"/>
          <w:sz w:val="20"/>
        </w:rPr>
        <w:t>Plattform: Intralinks VDRPro  |  Zugang: Eagle Capital Partners Deal Team + Berater</w:t>
      </w:r>
    </w:p>
    <w:p>
      <w:pPr>
        <w:spacing w:after="40"/>
        <w:pBdr>
          <w:bottom w:val="single" w:sz="6" w:space="1" w:color="4472C4"/>
        </w:pBdr>
      </w:pPr>
    </w:p>
    <w:p/>
    <w:p>
      <w:pPr>
        <w:pStyle w:val="Heading2"/>
      </w:pPr>
      <w:r>
        <w:rPr>
          <w:rFonts w:ascii="Calibri" w:hAnsi="Calibri"/>
          <w:sz w:val="24"/>
        </w:rPr>
        <w:t>Legende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Kürzel</w:t>
            </w:r>
          </w:p>
        </w:tc>
        <w:tc>
          <w:tcPr>
            <w:tcW w:type="dxa" w:w="4844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Bedeutung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Nur im Clean Room verfügbar (separate Zugangsberechtigung erforderlich)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Dokument laut VDR-Index erwartet, aber nicht hochgeladen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UNVOLL.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Dokument hochgeladen, aber unvollständig (Anlagen fehlen o.ä.)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Dokument vollständig und geprüft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VERALTET</w:t>
            </w:r>
          </w:p>
        </w:tc>
        <w:tc>
          <w:tcPr>
            <w:tcW w:type="dxa" w:w="484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Ältere Version vorhanden; aktuelle Version fehlt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01 — Corporate / Gesellschaft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HRB-Auszug Solaris Industries AG (2024)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Register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Gesellschafterliste 2022 (notariell)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VERALTET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G-001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Satzung Solaris Industries AG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AR-Protokoll Q3 2024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UBO Stamm I Grünwald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UBO Stamm II Grünwald-Konrad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G-002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Ausgliederungsvertrag Service GmbH (Entwurf)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Corporate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G-005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02 — Finanzen / Jahresabschlüsse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Jahresabschluss 2022 (geprüft)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Jahresabschluss 2021 (geprüft)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Jahresabschluss 2023 (geprüft)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G-006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BWA 2024 YTD (Jan–Sep)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Treasury Policy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Financial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03 — Commercial / Verträge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C-001 Kunde A (Head Sheet)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UNVOLL.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G-003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C-001 Kunde A (Anlagen)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G-003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C-002 Kunde B (komplett)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Rahmenvertrag C-003 Kunde C (komplett)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Kundenliste Top-20 (Excel)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Mustervertrag S-Care Servicevertrag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04 — Steuern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 2022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 2023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 2020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Umwandlungsvertrag 2024 (Verschmelzung)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Tax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05 — Regulatory / Exportkontrolle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Exportkontrollklassifizierung PDS-500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BAFA-Voranfrage 2023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Exportgenehmigung 2022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G-008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BAFA-Gutachten Dual-Use 2024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Regulatory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 (CR)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06 — Intellectual Property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Patentliste DPMA (Excel, Stand 2024)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Europäische Patente — Zertifikate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IP-Abtretungsvertrag Grünwald 2018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G-004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Markeneintragung PDS-GreenDrive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Markeneintragung S-Care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Kapitel 07 — Employment /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VDR-ID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Dokumenttitel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Typ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Gap-Ref.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Organigramm 2024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G-018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 1 (Arbeitszeit)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 2 (Homeoffice)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 3 (Entgelt)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Betriebsvereinbarungen 4–7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FEHLT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G-012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Anstellungsvertrag CEO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Anstellungsvertrag CFO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OK</w:t>
            </w:r>
          </w:p>
        </w:tc>
        <w:tc>
          <w:tcPr>
            <w:tcW w:type="dxa" w:w="193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sz w:val="24"/>
        </w:rPr>
        <w:t>Gesamtübersicht Vollständigkeit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Kapitel</w:t>
            </w:r>
          </w:p>
        </w:tc>
        <w:tc>
          <w:tcPr>
            <w:tcW w:type="dxa" w:w="3230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Vollständigkeit (%)</w:t>
            </w:r>
          </w:p>
        </w:tc>
        <w:tc>
          <w:tcPr>
            <w:tcW w:type="dxa" w:w="3230"/>
            <w:shd w:val="clear" w:color="auto" w:fill="4472C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Kommentar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01 Corporate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Gesellschafterliste, UBO II, Ausgliederung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02 Financial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JA 2023 und Steuerbescheide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03 Commercial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75 %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Kunde A Anlagen unvollständig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04 Tax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70 %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Steuerbescheide 2020/2023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05 Regulatory (inkl. CR)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55 %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Exportgenehmigungen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06 IP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40 %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IP-Abtretung 2018 kritisch fehlend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07 Employment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65 %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Betriebsvereinbarungen 4–7, Organigramm fehlen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GESAMT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ca. 63 %</w:t>
            </w:r>
          </w:p>
        </w:tc>
        <w:tc>
          <w:tcPr>
            <w:tcW w:type="dxa" w:w="323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Unzureichend für Binding Offer</w:t>
            </w:r>
          </w:p>
        </w:tc>
      </w:tr>
    </w:tbl>
    <w:p/>
    <w:p>
      <w:pPr>
        <w:spacing w:after="40"/>
        <w:pBdr>
          <w:bottom w:val="single" w:sz="6" w:space="1" w:color="4472C4"/>
        </w:pBdr>
      </w:pPr>
    </w:p>
    <w:p>
      <w:pPr>
        <w:ind w:left="567"/>
      </w:pPr>
      <w:r>
        <w:rPr>
          <w:rFonts w:ascii="Calibri" w:hAnsi="Calibri"/>
          <w:b w:val="0"/>
          <w:i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Solaris Industries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Solaris Industries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