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Insolvenzreife-Check — Delta Service GmbH</w:t>
      </w:r>
    </w:p>
    <w:p>
      <w:pPr>
        <w:jc w:val="left"/>
      </w:pPr>
      <w:r>
        <w:rPr>
          <w:b/>
        </w:rPr>
        <w:t>Aktenzeichen:</w:t>
      </w:r>
      <w:r>
        <w:t xml:space="preserve"> MA-2026-SF-001-R</w:t>
      </w:r>
    </w:p>
    <w:p>
      <w:pPr>
        <w:jc w:val="left"/>
      </w:pPr>
      <w:r>
        <w:rPr>
          <w:b/>
        </w:rPr>
        <w:t>Erstellt:</w:t>
      </w:r>
      <w:r>
        <w:t xml:space="preserve"> 15.05.2026</w:t>
      </w:r>
    </w:p>
    <w:p>
      <w:pPr>
        <w:jc w:val="left"/>
      </w:pPr>
      <w:r>
        <w:rPr>
          <w:b/>
        </w:rPr>
        <w:t>Verfasser:</w:t>
      </w:r>
      <w:r>
        <w:t xml:space="preserve"> Counsel D (Restrukturierung)</w:t>
      </w:r>
    </w:p>
    <w:p>
      <w:pPr>
        <w:jc w:val="left"/>
      </w:pPr>
      <w:r>
        <w:rPr>
          <w:b/>
        </w:rPr>
        <w:t>Adressat:</w:t>
      </w:r>
      <w:r>
        <w:t xml:space="preserve"> Deal Team / Eagle Capital Partners — Intern</w:t>
      </w:r>
    </w:p>
    <w:p>
      <w:pPr>
        <w:jc w:val="left"/>
      </w:pPr>
      <w:r>
        <w:rPr>
          <w:b/>
        </w:rPr>
        <w:t>Methodik:</w:t>
      </w:r>
      <w:r>
        <w:t xml:space="preserve"> Dreistufenprüfung nach §§ 17–19 InsO</w:t>
      </w:r>
    </w:p>
    <w:p>
      <w:pPr>
        <w:ind w:left="567"/>
      </w:pPr>
      <w:r>
        <w:rPr>
          <w:b/>
          <w:i/>
        </w:rPr>
        <w:t>Grundsatz:</w:t>
      </w:r>
      <w:r>
        <w:rPr>
          <w:i/>
        </w:rPr>
        <w:t xml:space="preserve"> Dieser Check gibt nicht "grün", wenn Datenlücken bestehen. Fehlende Informationen werden als Risikopositionen ausgewiesen und Nachforderungen gestellt.</w:t>
      </w:r>
    </w:p>
    <w:p/>
    <w:p>
      <w:pPr>
        <w:pStyle w:val="Heading2"/>
      </w:pPr>
      <w:r>
        <w:rPr>
          <w:rFonts w:ascii="Times New Roman" w:hAnsi="Times New Roman"/>
        </w:rPr>
        <w:t>1. Prüfstufe 1 — Zahlungsunfähigkeit (§ 17 InsO)</w:t>
      </w:r>
    </w:p>
    <w:p>
      <w:pPr>
        <w:jc w:val="left"/>
      </w:pPr>
      <w:r>
        <w:rPr>
          <w:b/>
        </w:rPr>
        <w:t>Rechtslage:</w:t>
      </w:r>
      <w:r>
        <w:t xml:space="preserve"> Zahlungsunfähig ist ein Schuldner, der nicht in der Lage ist, die fälligen Zahlungspflichten zu erfüllen. Maßgeblich ist der </w:t>
      </w:r>
      <w:r>
        <w:rPr>
          <w:b/>
        </w:rPr>
        <w:t>Stichtag</w:t>
      </w:r>
      <w:r>
        <w:t xml:space="preserve"> (hier: 15.05.2026). Gem. BGH-Rechtsprechung gilt: Unterdeckung von mehr als 10 % der fälligen Verbindlichkeiten und keine konkrete Erwartung der Beseitigung innerhalb von 3 Wochen → Zahlungsunfähigkeit.</w:t>
      </w:r>
    </w:p>
    <w:p>
      <w:pPr>
        <w:pStyle w:val="Heading3"/>
      </w:pPr>
      <w:r>
        <w:rPr>
          <w:rFonts w:ascii="Times New Roman" w:hAnsi="Times New Roman"/>
        </w:rPr>
        <w:t>1.1 Fälligkeitstest (Stichtag 15.05.2026)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Fällige Verbindlichkeit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Betrag (EUR)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Quelle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Überfällige Lieferantenrechnungen (&gt; 30 Tage)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410.000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Buchhaltung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Mietverbindlichkeiten (Mai, überfällig 3 Tage)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42.000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Mietvertrag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Sonstige fällige Verbindlichkeiten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25.000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Buchhaltung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Gesamt fällig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477.000</w:t>
            </w:r>
          </w:p>
        </w:tc>
        <w:tc>
          <w:tcPr>
            <w:tcW w:type="dxa" w:w="3024"/>
          </w:tcPr>
          <w:p/>
        </w:tc>
      </w:tr>
    </w:tbl>
    <w:p>
      <w:pPr>
        <w:pStyle w:val="Heading3"/>
      </w:pPr>
      <w:r>
        <w:rPr>
          <w:rFonts w:ascii="Times New Roman" w:hAnsi="Times New Roman"/>
        </w:rPr>
        <w:t>1.2 Liquiditätsdeckung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Verfügbare Mittel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Betrag (EUR)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Einschränkung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Bankguthaben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840.000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Ohne Einschränkung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Kreditlinie (nominal)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Covenant-Waiver fehlt → nicht anrechenbar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Effektiv verfügbar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840.000</w:t>
            </w:r>
          </w:p>
        </w:tc>
        <w:tc>
          <w:tcPr>
            <w:tcW w:type="dxa" w:w="3024"/>
          </w:tcPr>
          <w:p/>
        </w:tc>
      </w:tr>
    </w:tbl>
    <w:p>
      <w:pPr>
        <w:jc w:val="left"/>
      </w:pPr>
      <w:r>
        <w:rPr>
          <w:b/>
        </w:rPr>
        <w:t>Deckungsgrad:</w:t>
      </w:r>
      <w:r>
        <w:t xml:space="preserve"> EUR 840.000 / EUR 477.000 = </w:t>
      </w:r>
      <w:r>
        <w:rPr>
          <w:b/>
        </w:rPr>
        <w:t>176 %</w:t>
      </w:r>
      <w:r>
        <w:t xml:space="preserve"> → Zahlungsunfähigkeit liegt am Stichtag 15.05.2026 </w:t>
      </w:r>
      <w:r>
        <w:rPr>
          <w:b/>
        </w:rPr>
        <w:t>noch nicht vor</w:t>
      </w:r>
      <w:r>
        <w:t>.</w:t>
      </w:r>
    </w:p>
    <w:p>
      <w:pPr>
        <w:pStyle w:val="Heading3"/>
      </w:pPr>
      <w:r>
        <w:rPr>
          <w:rFonts w:ascii="Times New Roman" w:hAnsi="Times New Roman"/>
        </w:rPr>
        <w:t>1.3 Datenlücken § 17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Datenlücke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Risiko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Nachforderung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Covenant-Waiver DKB noch nicht erteilt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Kreditlinie kann plötzlich nicht gezogen werden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Waiver-Bestätigung bis 20.05.2026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Lieferstopp 3 Lieferanten droht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Fällige Abnahmeverbindlichkeiten entstehen ggf. sofort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Lieferantenstatus klären bis 17.05.2026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Großkundenforderung EUR 180.000 bestritten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 sicherer Eingang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Beleg über Einigungsgespräch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2. Prüfstufe 2 — Drohende Zahlungsunfähigkeit (§ 18 InsO)</w:t>
      </w:r>
    </w:p>
    <w:p>
      <w:pPr>
        <w:jc w:val="left"/>
      </w:pPr>
      <w:r>
        <w:rPr>
          <w:b/>
        </w:rPr>
        <w:t>Rechtslage:</w:t>
      </w:r>
      <w:r>
        <w:t xml:space="preserve"> Drohende Zahlungsunfähigkeit liegt vor, wenn der Schuldner voraussichtlich nicht in der Lage sein wird, die bestehenden Zahlungspflichten im </w:t>
      </w:r>
      <w:r>
        <w:rPr>
          <w:b/>
        </w:rPr>
        <w:t>Zeitpunkt der Fälligkeit</w:t>
      </w:r>
      <w:r>
        <w:t xml:space="preserve"> zu erfüllen. Planungshorizont: üblicherweise 24 Monate.</w:t>
      </w:r>
    </w:p>
    <w:p>
      <w:pPr>
        <w:pStyle w:val="Heading3"/>
      </w:pPr>
      <w:r>
        <w:rPr>
          <w:rFonts w:ascii="Times New Roman" w:hAnsi="Times New Roman"/>
        </w:rPr>
        <w:t>2.1 Vorausschau 13 Wochen (aus Cash Bridge)</w:t>
      </w:r>
    </w:p>
    <w:p>
      <w:pPr>
        <w:jc w:val="left"/>
      </w:pPr>
      <w:r>
        <w:t xml:space="preserve">Gemäß Cash Bridge (cash_bridge_13_wochen.csv) tritt ein negativer Saldo erstmals in </w:t>
      </w:r>
      <w:r>
        <w:rPr>
          <w:b/>
        </w:rPr>
        <w:t>KW 26 (Anfang Juli 2026)</w:t>
      </w:r>
      <w:r>
        <w:t xml:space="preserve"> auf: EUR -198.000.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KW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Endbestand (EUR)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Bewertung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678.000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Grün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365.000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Grün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132.000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Gelb (Puffer eng)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120.000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Gelb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120.000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Gelb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-198.000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Rot — drohende Zahlungsunfähigkeit</w:t>
            </w:r>
          </w:p>
        </w:tc>
      </w:tr>
    </w:tbl>
    <w:p>
      <w:pPr>
        <w:jc w:val="left"/>
      </w:pPr>
      <w:r>
        <w:rPr>
          <w:b/>
        </w:rPr>
        <w:t>Ergebnis:</w:t>
      </w:r>
      <w:r>
        <w:t xml:space="preserve"> § 18 InsO-Schwelle ist </w:t>
      </w:r>
      <w:r>
        <w:rPr>
          <w:b/>
        </w:rPr>
        <w:t>überschritten</w:t>
      </w:r>
      <w:r>
        <w:t>. Drohende Zahlungsunfähigkeit liegt vor.</w:t>
      </w:r>
    </w:p>
    <w:p>
      <w:pPr>
        <w:pStyle w:val="Heading3"/>
      </w:pPr>
      <w:r>
        <w:rPr>
          <w:rFonts w:ascii="Times New Roman" w:hAnsi="Times New Roman"/>
        </w:rPr>
        <w:t>2.2 Datenlücken § 18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Datenlücke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Risiko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Nachforderung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Fortbestehensprognose nicht formal beschlossen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Ohne Prognose kann § 19 InsO greifen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Prognose bis 01.06.2026 beschließen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24-Monats-Planung fehlt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Nur 13-Wochen-Sicht vorhanden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Jahresplan 2026/2027 anfordern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Rangrücktritt GGD nur Entwurf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Gesellschafterdarlehen als Verbindlichkeit gezählt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Unterzeichnung bis 30.05.2026 (CP-13)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3. Prüfstufe 3 — Überschuldung (§ 19 InsO)</w:t>
      </w:r>
    </w:p>
    <w:p>
      <w:pPr>
        <w:jc w:val="left"/>
      </w:pPr>
      <w:r>
        <w:rPr>
          <w:b/>
        </w:rPr>
        <w:t>Rechtslage:</w:t>
      </w:r>
      <w:r>
        <w:t xml:space="preserve"> Überschuldung liegt vor, wenn das Vermögen des Schuldners die bestehenden Verbindlichkeiten nicht mehr deckt, </w:t>
      </w:r>
      <w:r>
        <w:rPr>
          <w:b/>
        </w:rPr>
        <w:t>sofern keine positive Fortbestehensprognose</w:t>
      </w:r>
      <w:r>
        <w:t xml:space="preserve"> besteht.</w:t>
      </w:r>
    </w:p>
    <w:p>
      <w:pPr>
        <w:pStyle w:val="Heading3"/>
      </w:pPr>
      <w:r>
        <w:rPr>
          <w:rFonts w:ascii="Times New Roman" w:hAnsi="Times New Roman"/>
        </w:rPr>
        <w:t>3.1 Überschuldungsstatus (vereinfacht, Jahresabschluss 2024)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Buchwert (EUR)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Anmerkung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Bilanzielles Eigenkapital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2.400.000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 2024 testiert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Gesellschafterdarlehen (nachrangig nur Entwurf)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1.800.000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Als Fremdkapital gewertet bis Rangrücktritt final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Überschuldungs-relevanter Saldo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+ 600.000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 xml:space="preserve">Knapp positiv — </w:t>
            </w:r>
            <w:r>
              <w:rPr>
                <w:rFonts w:ascii="Times New Roman" w:hAnsi="Times New Roman"/>
                <w:b/>
                <w:sz w:val="20"/>
              </w:rPr>
              <w:t>stark abhängig vom Rangrücktritt</w:t>
            </w:r>
          </w:p>
        </w:tc>
      </w:tr>
    </w:tbl>
    <w:p>
      <w:pPr>
        <w:jc w:val="left"/>
      </w:pPr>
      <w:r>
        <w:rPr>
          <w:b/>
        </w:rPr>
        <w:t>Risiko:</w:t>
      </w:r>
      <w:r>
        <w:t xml:space="preserve"> Wenn Rangrücktritt nicht rechtzeitig finalisiert wird, reduziert sich das Eigenkapital um EUR 1,8 Mio. → bilanziell negativ → </w:t>
      </w:r>
      <w:r>
        <w:rPr>
          <w:b/>
        </w:rPr>
        <w:t>Überschuldung</w:t>
      </w:r>
      <w:r>
        <w:t>.</w:t>
      </w:r>
    </w:p>
    <w:p>
      <w:pPr>
        <w:pStyle w:val="Heading3"/>
      </w:pPr>
      <w:r>
        <w:rPr>
          <w:rFonts w:ascii="Times New Roman" w:hAnsi="Times New Roman"/>
        </w:rPr>
        <w:t>3.2 Fortbestehensprognose</w:t>
      </w:r>
    </w:p>
    <w:p>
      <w:pPr>
        <w:jc w:val="left"/>
      </w:pPr>
      <w:r>
        <w:rPr>
          <w:b/>
        </w:rPr>
        <w:t>Status:</w:t>
      </w:r>
      <w:r>
        <w:t xml:space="preserve"> Die Geschäftsführung hat keine dokumentierte Fortbestehensprognose beschlossen. Dies ist ein </w:t>
      </w:r>
      <w:r>
        <w:rPr>
          <w:b/>
        </w:rPr>
        <w:t>schwerwiegender Mangel</w:t>
      </w:r>
      <w:r>
        <w:t>: Ohne positive Fortbestehensprognose gilt die insolvenzrechtliche Überschuldung auch bei positiver Buchwertbilanz als gegeben (§ 19 Abs. 2 Satz 1 InsO).</w:t>
      </w:r>
    </w:p>
    <w:p>
      <w:pPr>
        <w:jc w:val="left"/>
      </w:pPr>
      <w:r>
        <w:rPr>
          <w:b/>
        </w:rPr>
        <w:t>Nachforderung:</w:t>
      </w:r>
      <w:r>
        <w:t xml:space="preserve"> Fortbestehensprognose (12–24 Monate, durch Wirtschaftsprüfer begleitet) bis </w:t>
      </w:r>
      <w:r>
        <w:rPr>
          <w:b/>
        </w:rPr>
        <w:t>01.06.2026</w:t>
      </w:r>
      <w:r>
        <w:t xml:space="preserve"> beschließen.</w:t>
      </w:r>
    </w:p>
    <w:p/>
    <w:p>
      <w:pPr>
        <w:pStyle w:val="Heading2"/>
      </w:pPr>
      <w:r>
        <w:rPr>
          <w:rFonts w:ascii="Times New Roman" w:hAnsi="Times New Roman"/>
        </w:rPr>
        <w:t>4. Haftungsrisiken Geschäftsführung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Haftungsgrundlage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Tatbestand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15a InsO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Verletzung der Insolvenzantragspflicht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Risiko sobald § 17 oder § 19 eingetreten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64 GmbHG a.F. / § 15b InsO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Zahlungen nach Insolvenzreife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Risiko bei Fortführung ohne Gegenmaßnahmen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823 Abs. 2 BGB i.V.m. § 15a InsO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Drittschäden durch verspäteten Antrag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Risiko gegenüber neuen Gläubigern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5. Gesamtergebnis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Insolvenztatbestand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Ergebnis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Begründung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17 InsO Zahlungsunfähigkeit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Nein (aktuell)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Bankguthaben reicht — noch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18 InsO drohende Zahlungsunfähigkeit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Ja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Negativsaldo ab KW 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19 InsO Überschuldung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Unklar — Datenlücken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Rangrücktritt + Fortbestehensprognose fehlen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6. Kritische Nachforderungsliste</w:t>
      </w:r>
    </w:p>
    <w:p>
      <w:pPr>
        <w:pStyle w:val="ListNumber"/>
      </w:pPr>
      <w:r>
        <w:rPr>
          <w:b/>
        </w:rPr>
        <w:t>Covenant-Waiver DKB AG</w:t>
      </w:r>
      <w:r>
        <w:t xml:space="preserve"> — bis 20.05.2026</w:t>
      </w:r>
    </w:p>
    <w:p>
      <w:pPr>
        <w:pStyle w:val="ListNumber"/>
      </w:pPr>
      <w:r>
        <w:rPr>
          <w:b/>
        </w:rPr>
        <w:t>Lieferantenstatus klären</w:t>
      </w:r>
      <w:r>
        <w:t xml:space="preserve"> (Lieferstoppdrohung) — bis 17.05.2026</w:t>
      </w:r>
    </w:p>
    <w:p>
      <w:pPr>
        <w:pStyle w:val="ListNumber"/>
      </w:pPr>
      <w:r>
        <w:rPr>
          <w:b/>
        </w:rPr>
        <w:t>Rangrücktritt GGD</w:t>
      </w:r>
      <w:r>
        <w:t xml:space="preserve"> finalisieren — bis 30.05.2026 (CP-13)</w:t>
      </w:r>
    </w:p>
    <w:p>
      <w:pPr>
        <w:pStyle w:val="ListNumber"/>
      </w:pPr>
      <w:r>
        <w:rPr>
          <w:b/>
        </w:rPr>
        <w:t>Fortbestehensprognose</w:t>
      </w:r>
      <w:r>
        <w:t xml:space="preserve"> formal beschließen (GF-Beschluss + WP) — bis 01.06.2026</w:t>
      </w:r>
    </w:p>
    <w:p>
      <w:pPr>
        <w:pStyle w:val="ListNumber"/>
      </w:pPr>
      <w:r>
        <w:rPr>
          <w:b/>
        </w:rPr>
        <w:t>24-Monats-Plan</w:t>
      </w:r>
      <w:r>
        <w:t xml:space="preserve"> anfordern — bis 30.05.2026</w:t>
      </w:r>
    </w:p>
    <w:p>
      <w:pPr>
        <w:pStyle w:val="ListNumber"/>
      </w:pPr>
      <w:r>
        <w:rPr>
          <w:b/>
        </w:rPr>
        <w:t>Großkunden-Forderung</w:t>
      </w:r>
      <w:r>
        <w:t xml:space="preserve"> eskalieren (EUR 180.000) — bis 17.05.2026</w:t>
      </w:r>
    </w:p>
    <w:p/>
    <w:p>
      <w:pPr>
        <w:jc w:val="left"/>
      </w:pPr>
      <w:r>
        <w:rPr>
          <w:i/>
        </w:rPr>
        <w:t>Aktenvermerk-Nr.: AV-INSO-2026-001 | Privileged &amp; Confidential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Delta Service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8A6A1F"/>
        <w:sz w:val="24"/>
      </w:rPr>
      <w:t>Delta Service GmbH</w:t>
    </w:r>
  </w:p>
  <w:p>
    <w:pPr>
      <w:jc w:val="left"/>
      <w:pBdr>
        <w:bottom w:val="single" w:sz="6" w:space="2" w:color="8A6A1F"/>
      </w:pBdr>
    </w:pPr>
    <w:r>
      <w:rPr>
        <w:rFonts w:ascii="Times New Roman" w:hAnsi="Times New Roman"/>
        <w:color w:val="6B6B66"/>
        <w:sz w:val="16"/>
      </w:rPr>
      <w:t>Unternehmen · Aktenzeichen: MA-2026-SF-001-R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