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Zwischenverfügung</w:t>
      </w:r>
    </w:p>
    <w:p>
      <w:pPr>
        <w:jc w:val="left"/>
      </w:pPr>
      <w:r>
        <w:t>Amtsgericht Goslar - Grundbuchamt</w:t>
      </w:r>
    </w:p>
    <w:p>
      <w:pPr>
        <w:jc w:val="left"/>
      </w:pPr>
      <w:r>
        <w:t>Der beantragten Löschung der Grundschuld Abteilung III Nr. 4 steht entgegen, dass der Grundschuldbrief nicht vorgelegt wurde. Die Löschungsbewilligung allein reicht bei einem Briefrecht nicht aus.</w:t>
      </w:r>
    </w:p>
    <w:p>
      <w:pPr>
        <w:jc w:val="left"/>
      </w:pPr>
      <w:r>
        <w:t>Ferner fehlt der Nachweis der Vertretung der Morgenrot Wohnbau GmbH in grundbuchtauglicher Form. Der eingereichte Handelsregister-Screenshot ist keine öffentliche Urkunde.</w:t>
      </w:r>
    </w:p>
    <w:p>
      <w:pPr>
        <w:jc w:val="left"/>
      </w:pPr>
      <w:r>
        <w:t>Frist: 6 Wochen.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Goslar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Goslar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