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SPA-Auszug -- Steuerklauseln</w:t>
      </w:r>
    </w:p>
    <w:p>
      <w:pPr>
        <w:jc w:val="left"/>
      </w:pPr>
      <w:r>
        <w:rPr>
          <w:b/>
        </w:rPr>
        <w:t>Projekt:</w:t>
      </w:r>
      <w:r>
        <w:t xml:space="preserve"> Waldkrone</w:t>
      </w:r>
    </w:p>
    <w:p>
      <w:pPr>
        <w:jc w:val="left"/>
      </w:pPr>
      <w:r>
        <w:rPr>
          <w:b/>
        </w:rPr>
        <w:t>Vertrag:</w:t>
      </w:r>
      <w:r>
        <w:t xml:space="preserve"> Share Purchase Agreement vom 12.12.2025</w:t>
      </w:r>
    </w:p>
    <w:p>
      <w:pPr>
        <w:jc w:val="left"/>
      </w:pPr>
      <w:r>
        <w:rPr>
          <w:b/>
        </w:rPr>
        <w:t>Notar:</w:t>
      </w:r>
      <w:r>
        <w:t xml:space="preserve"> Dr. Friedjoff Wagensteiner, Frankfurt am Main, UR-Nr. 1287/2025</w:t>
      </w:r>
    </w:p>
    <w:p>
      <w:pPr>
        <w:jc w:val="left"/>
      </w:pPr>
      <w:r>
        <w:rPr>
          <w:b/>
        </w:rPr>
        <w:t>Vertragssprache:</w:t>
      </w:r>
      <w:r>
        <w:t xml:space="preserve"> Englisch, Rechtswahl deutsches Recht, Gerichtsstand Frankfurt am Main</w:t>
      </w:r>
    </w:p>
    <w:p>
      <w:pPr>
        <w:jc w:val="left"/>
      </w:pPr>
      <w:r>
        <w:rPr>
          <w:b/>
        </w:rPr>
        <w:t>Vertragslänge:</w:t>
      </w:r>
      <w:r>
        <w:t xml:space="preserve"> 287 Seiten Hauptdokument + 14 Schedules</w:t>
      </w:r>
    </w:p>
    <w:p>
      <w:pPr>
        <w:jc w:val="left"/>
      </w:pPr>
      <w:r>
        <w:rPr>
          <w:b/>
        </w:rPr>
        <w:t>Auszug:</w:t>
      </w:r>
      <w:r>
        <w:t xml:space="preserve"> Clause 17 -- Taxes (Seite 142 -- 165), zzgl. Schedule 8 (Tax Indemnity Threshold) und Schedule 11 (Escrow Mechanics)</w:t>
      </w:r>
    </w:p>
    <w:p>
      <w:pPr>
        <w:pStyle w:val="Heading2"/>
      </w:pPr>
      <w:r>
        <w:rPr>
          <w:rFonts w:ascii="Times New Roman" w:hAnsi="Times New Roman"/>
        </w:rPr>
        <w:t>17.1 Definitions (Auszug)</w:t>
      </w:r>
    </w:p>
    <w:p>
      <w:pPr>
        <w:pStyle w:val="ListBullet"/>
      </w:pPr>
      <w:r>
        <w:rPr>
          <w:b/>
        </w:rPr>
        <w:t>"Tax"</w:t>
      </w:r>
      <w:r>
        <w:t xml:space="preserve"> means any tax, duty, levy, contribution or charge (including real estate transfer tax / Grunderwerbsteuer) imposed by any Tax Authority, together with any interest, penalty, surcharge or other ancillary payment.</w:t>
      </w:r>
    </w:p>
    <w:p>
      <w:pPr>
        <w:pStyle w:val="ListBullet"/>
      </w:pPr>
      <w:r>
        <w:rPr>
          <w:b/>
        </w:rPr>
        <w:t>"Transaction Transfer Tax"</w:t>
      </w:r>
      <w:r>
        <w:t xml:space="preserve"> means any real estate transfer tax (Grunderwerbsteuer) triggered by the consummation of the Transaction (Closing).</w:t>
      </w:r>
    </w:p>
    <w:p>
      <w:pPr>
        <w:pStyle w:val="ListBullet"/>
      </w:pPr>
      <w:r>
        <w:rPr>
          <w:b/>
        </w:rPr>
        <w:t>"Pre-Signing Tax"</w:t>
      </w:r>
      <w:r>
        <w:t xml:space="preserve"> means any Tax relating to a Pre-Signing Period as defined in Schedule 5.</w:t>
      </w:r>
    </w:p>
    <w:p>
      <w:pPr>
        <w:pStyle w:val="ListBullet"/>
      </w:pPr>
      <w:r>
        <w:rPr>
          <w:b/>
        </w:rPr>
        <w:t>"Closing Date"</w:t>
      </w:r>
      <w:r>
        <w:t xml:space="preserve"> means 30 April 2026.</w:t>
      </w:r>
    </w:p>
    <w:p>
      <w:pPr>
        <w:pStyle w:val="ListBullet"/>
      </w:pPr>
      <w:r>
        <w:rPr>
          <w:b/>
        </w:rPr>
        <w:t>"Signing Date"</w:t>
      </w:r>
      <w:r>
        <w:t xml:space="preserve"> means 12 December 2025.</w:t>
      </w:r>
    </w:p>
    <w:p>
      <w:pPr>
        <w:pStyle w:val="Heading2"/>
      </w:pPr>
      <w:r>
        <w:rPr>
          <w:rFonts w:ascii="Times New Roman" w:hAnsi="Times New Roman"/>
        </w:rPr>
        <w:t>17.3 Transfer Taxes</w:t>
      </w:r>
    </w:p>
    <w:p>
      <w:pPr>
        <w:jc w:val="left"/>
      </w:pPr>
      <w:r>
        <w:t xml:space="preserve">The Purchaser shall bear any real estate transfer tax (Grunderwerbsteuer) triggered by the consummation of the Transaction, </w:t>
      </w:r>
      <w:r>
        <w:rPr>
          <w:b/>
        </w:rPr>
        <w:t>provided that such tax is assessed solely as a consequence of the transfer of the Shares from Seller to Purchaser at Closing</w:t>
      </w:r>
      <w:r>
        <w:t>.</w:t>
      </w:r>
    </w:p>
    <w:p>
      <w:pPr>
        <w:pStyle w:val="Heading2"/>
      </w:pPr>
      <w:r>
        <w:rPr>
          <w:rFonts w:ascii="Times New Roman" w:hAnsi="Times New Roman"/>
        </w:rPr>
        <w:t>17.4 Seller Indemnity</w:t>
      </w:r>
    </w:p>
    <w:p>
      <w:pPr>
        <w:jc w:val="left"/>
      </w:pPr>
      <w:r>
        <w:t>Seller shall indemnify Purchaser and the Company against any real estate transfer tax, interest, penalties or ancillary charges arising from:</w:t>
      </w:r>
    </w:p>
    <w:p>
      <w:pPr>
        <w:jc w:val="left"/>
      </w:pPr>
      <w:r>
        <w:t>(a) any failure to disclose German real estate held by the Company before Signing;</w:t>
      </w:r>
    </w:p>
    <w:p>
      <w:pPr>
        <w:jc w:val="left"/>
      </w:pPr>
      <w:r>
        <w:t>(b) any pre-Signing restructuring of the Company Group;</w:t>
      </w:r>
    </w:p>
    <w:p>
      <w:pPr>
        <w:jc w:val="left"/>
      </w:pPr>
      <w:r>
        <w:t>(c) any incorrect information in the Real Estate Schedule (Schedule 7);</w:t>
      </w:r>
    </w:p>
    <w:p>
      <w:pPr>
        <w:jc w:val="left"/>
      </w:pPr>
      <w:r>
        <w:t>(d) any breach of Seller's cooperation obligations in relation to tax filings;</w:t>
      </w:r>
    </w:p>
    <w:p>
      <w:pPr>
        <w:jc w:val="left"/>
      </w:pPr>
      <w:r>
        <w:t>(e) any tax assessment relating to a real estate transfer tax matter triggered prior to or at Signing other than as a result of the transactions contemplated in this Agreement.</w:t>
      </w:r>
    </w:p>
    <w:p>
      <w:pPr>
        <w:pStyle w:val="Heading2"/>
      </w:pPr>
      <w:r>
        <w:rPr>
          <w:rFonts w:ascii="Times New Roman" w:hAnsi="Times New Roman"/>
        </w:rPr>
        <w:t>17.5 Cooperation</w:t>
      </w:r>
    </w:p>
    <w:p>
      <w:pPr>
        <w:jc w:val="left"/>
      </w:pPr>
      <w:r>
        <w:t>The Parties shall cooperate in preparing and filing any real estate transfer tax notifications required under section 19 GrEStG. Purchaser shall control any proceedings (objection, action, applications for stay of execution) relating to real estate transfer tax assessed as a result of Closing. Seller shall not settle any such proceeding without Purchaser's prior written consent, such consent not to be unreasonably withheld. The Parties shall mutually exchange information promptly upon receipt of any communication from any German tax authority relating to real estate transfer tax in respect of the Transaction.</w:t>
      </w:r>
    </w:p>
    <w:p>
      <w:pPr>
        <w:pStyle w:val="Heading2"/>
      </w:pPr>
      <w:r>
        <w:rPr>
          <w:rFonts w:ascii="Times New Roman" w:hAnsi="Times New Roman"/>
        </w:rPr>
        <w:t>17.6 Escrow</w:t>
      </w:r>
    </w:p>
    <w:p>
      <w:pPr>
        <w:jc w:val="left"/>
      </w:pPr>
      <w:r>
        <w:t xml:space="preserve">EUR 2,400,000 of the Purchase Price (the </w:t>
      </w:r>
      <w:r>
        <w:rPr>
          <w:b/>
        </w:rPr>
        <w:t>"Tax Escrow Amount"</w:t>
      </w:r>
      <w:r>
        <w:t>) shall be retained in an escrow account with Frankfurter Bankhaus GmbH &amp; Co. KGaA (IBAN DE94 5001 0517 0000 9871 23 [intern: zu prüfen]) and shall be released to Seller only upon the later of:</w:t>
      </w:r>
    </w:p>
    <w:p>
      <w:pPr>
        <w:jc w:val="left"/>
      </w:pPr>
      <w:r>
        <w:t>(a) receipt of all real estate transfer tax assessments relating to the Transaction; and</w:t>
      </w:r>
    </w:p>
    <w:p>
      <w:pPr>
        <w:jc w:val="left"/>
      </w:pPr>
      <w:r>
        <w:t>(b) expiry of the objection period for such assessments, unless an objection has been filed by Purchaser, in which case the Tax Escrow Amount shall be released only after final determination of the proceeding (Bestandskraft) or upon mutual written agreement.</w:t>
      </w:r>
    </w:p>
    <w:p>
      <w:pPr>
        <w:jc w:val="left"/>
      </w:pPr>
      <w:r>
        <w:t>Notwithstanding the foregoing, the Tax Escrow Amount may not be used to fund security deposits (Sicherheitsleistungen) required by a German tax authority in connection with a stay of execution (Aussetzung der Vollziehung).</w:t>
      </w:r>
    </w:p>
    <w:p>
      <w:pPr>
        <w:pStyle w:val="Heading2"/>
      </w:pPr>
      <w:r>
        <w:rPr>
          <w:rFonts w:ascii="Times New Roman" w:hAnsi="Times New Roman"/>
        </w:rPr>
        <w:t>17.7 De Minimis Threshold</w:t>
      </w:r>
    </w:p>
    <w:p>
      <w:pPr>
        <w:jc w:val="left"/>
      </w:pPr>
      <w:r>
        <w:t>The aggregate amount of all Tax claims under this Agreement shall not exceed an aggregate cap of EUR 10,000,000, except that real estate transfer tax claims (including under sections 17.3 and 17.4) are excluded from such cap.</w:t>
      </w:r>
    </w:p>
    <w:p>
      <w:pPr>
        <w:pStyle w:val="Heading2"/>
      </w:pPr>
      <w:r>
        <w:rPr>
          <w:rFonts w:ascii="Times New Roman" w:hAnsi="Times New Roman"/>
        </w:rPr>
        <w:t>17.8 Time Limits</w:t>
      </w:r>
    </w:p>
    <w:p>
      <w:pPr>
        <w:jc w:val="left"/>
      </w:pPr>
      <w:r>
        <w:t>Claims under section 17.4 (Seller Indemnity) shall be made within 90 days after the relevant assessment has been received by Purchaser, and in any event no later than 7 years after the Closing Date.</w:t>
      </w:r>
    </w:p>
    <w:p>
      <w:pPr>
        <w:pStyle w:val="Heading2"/>
      </w:pPr>
      <w:r>
        <w:rPr>
          <w:rFonts w:ascii="Times New Roman" w:hAnsi="Times New Roman"/>
        </w:rPr>
        <w:t>Schedule 7 -- Real Estate Properties (Auszug)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Property</w:t>
            </w:r>
          </w:p>
        </w:tc>
        <w:tc>
          <w:tcPr>
            <w:tcW w:type="dxa" w:w="1296"/>
          </w:tcPr>
          <w:p>
            <w:r>
              <w:rPr>
                <w:rFonts w:ascii="Times New Roman" w:hAnsi="Times New Roman"/>
                <w:b/>
                <w:sz w:val="20"/>
              </w:rPr>
              <w:t>Address</w:t>
            </w:r>
          </w:p>
        </w:tc>
        <w:tc>
          <w:tcPr>
            <w:tcW w:type="dxa" w:w="1296"/>
          </w:tcPr>
          <w:p>
            <w:r>
              <w:rPr>
                <w:rFonts w:ascii="Times New Roman" w:hAnsi="Times New Roman"/>
                <w:b/>
                <w:sz w:val="20"/>
              </w:rPr>
              <w:t>Land Register</w:t>
            </w:r>
          </w:p>
        </w:tc>
        <w:tc>
          <w:tcPr>
            <w:tcW w:type="dxa" w:w="1296"/>
          </w:tcPr>
          <w:p>
            <w:r>
              <w:rPr>
                <w:rFonts w:ascii="Times New Roman" w:hAnsi="Times New Roman"/>
                <w:b/>
                <w:sz w:val="20"/>
              </w:rPr>
              <w:t>Plot</w:t>
            </w:r>
          </w:p>
        </w:tc>
        <w:tc>
          <w:tcPr>
            <w:tcW w:type="dxa" w:w="1296"/>
          </w:tcPr>
          <w:p>
            <w:r>
              <w:rPr>
                <w:rFonts w:ascii="Times New Roman" w:hAnsi="Times New Roman"/>
                <w:b/>
                <w:sz w:val="20"/>
              </w:rPr>
              <w:t>Size (sqm)</w:t>
            </w:r>
          </w:p>
        </w:tc>
        <w:tc>
          <w:tcPr>
            <w:tcW w:type="dxa" w:w="1296"/>
          </w:tcPr>
          <w:p>
            <w:r>
              <w:rPr>
                <w:rFonts w:ascii="Times New Roman" w:hAnsi="Times New Roman"/>
                <w:b/>
                <w:sz w:val="20"/>
              </w:rPr>
              <w:t>Title</w:t>
            </w:r>
          </w:p>
        </w:tc>
        <w:tc>
          <w:tcPr>
            <w:tcW w:type="dxa" w:w="1296"/>
          </w:tcPr>
          <w:p>
            <w:r>
              <w:rPr>
                <w:rFonts w:ascii="Times New Roman" w:hAnsi="Times New Roman"/>
                <w:b/>
                <w:sz w:val="20"/>
              </w:rPr>
              <w:t>Comment</w:t>
            </w:r>
          </w:p>
        </w:tc>
      </w:tr>
      <w:tr>
        <w:tc>
          <w:tcPr>
            <w:tcW w:type="dxa" w:w="1296"/>
          </w:tcPr>
          <w:p>
            <w:r>
              <w:rPr>
                <w:rFonts w:ascii="Times New Roman" w:hAnsi="Times New Roman"/>
                <w:sz w:val="20"/>
              </w:rPr>
              <w:t>Logistikzentrum Haveltor</w:t>
            </w:r>
          </w:p>
        </w:tc>
        <w:tc>
          <w:tcPr>
            <w:tcW w:type="dxa" w:w="1296"/>
          </w:tcPr>
          <w:p>
            <w:r>
              <w:rPr>
                <w:rFonts w:ascii="Times New Roman" w:hAnsi="Times New Roman"/>
                <w:sz w:val="20"/>
              </w:rPr>
              <w:t>Brandenburger Tor 14, 14467 Potsdam</w:t>
            </w:r>
          </w:p>
        </w:tc>
        <w:tc>
          <w:tcPr>
            <w:tcW w:type="dxa" w:w="1296"/>
          </w:tcPr>
          <w:p>
            <w:r>
              <w:rPr>
                <w:rFonts w:ascii="Times New Roman" w:hAnsi="Times New Roman"/>
                <w:sz w:val="20"/>
              </w:rPr>
              <w:t>Potsdam Bl. 8821</w:t>
            </w:r>
          </w:p>
        </w:tc>
        <w:tc>
          <w:tcPr>
            <w:tcW w:type="dxa" w:w="1296"/>
          </w:tcPr>
          <w:p>
            <w:r>
              <w:rPr>
                <w:rFonts w:ascii="Times New Roman" w:hAnsi="Times New Roman"/>
                <w:sz w:val="20"/>
              </w:rPr>
              <w:t>4 / 117</w:t>
            </w:r>
          </w:p>
        </w:tc>
        <w:tc>
          <w:tcPr>
            <w:tcW w:type="dxa" w:w="1296"/>
          </w:tcPr>
          <w:p>
            <w:r>
              <w:rPr>
                <w:rFonts w:ascii="Times New Roman" w:hAnsi="Times New Roman"/>
                <w:sz w:val="20"/>
              </w:rPr>
              <w:t>24.300</w:t>
            </w:r>
          </w:p>
        </w:tc>
        <w:tc>
          <w:tcPr>
            <w:tcW w:type="dxa" w:w="1296"/>
          </w:tcPr>
          <w:p>
            <w:r>
              <w:rPr>
                <w:rFonts w:ascii="Times New Roman" w:hAnsi="Times New Roman"/>
                <w:sz w:val="20"/>
              </w:rPr>
              <w:t>sole ownership Waldkrone Property Brandenburg GmbH</w:t>
            </w:r>
          </w:p>
        </w:tc>
        <w:tc>
          <w:tcPr>
            <w:tcW w:type="dxa" w:w="1296"/>
          </w:tcPr>
          <w:p>
            <w:r>
              <w:rPr>
                <w:rFonts w:ascii="Times New Roman" w:hAnsi="Times New Roman"/>
                <w:sz w:val="20"/>
              </w:rPr>
              <w:t>long-term lease with KurierPlus AG until 2034</w:t>
            </w:r>
          </w:p>
        </w:tc>
      </w:tr>
      <w:tr>
        <w:tc>
          <w:tcPr>
            <w:tcW w:type="dxa" w:w="1296"/>
          </w:tcPr>
          <w:p>
            <w:r>
              <w:rPr>
                <w:rFonts w:ascii="Times New Roman" w:hAnsi="Times New Roman"/>
                <w:sz w:val="20"/>
              </w:rPr>
              <w:t>Umschlaghalle Mainbogen</w:t>
            </w:r>
          </w:p>
        </w:tc>
        <w:tc>
          <w:tcPr>
            <w:tcW w:type="dxa" w:w="1296"/>
          </w:tcPr>
          <w:p>
            <w:r>
              <w:rPr>
                <w:rFonts w:ascii="Times New Roman" w:hAnsi="Times New Roman"/>
                <w:sz w:val="20"/>
              </w:rPr>
              <w:t>Mainbogen 88, 60314 Frankfurt am Main</w:t>
            </w:r>
          </w:p>
        </w:tc>
        <w:tc>
          <w:tcPr>
            <w:tcW w:type="dxa" w:w="1296"/>
          </w:tcPr>
          <w:p>
            <w:r>
              <w:rPr>
                <w:rFonts w:ascii="Times New Roman" w:hAnsi="Times New Roman"/>
                <w:sz w:val="20"/>
              </w:rPr>
              <w:t>Frankfurt Bl. 17304</w:t>
            </w:r>
          </w:p>
        </w:tc>
        <w:tc>
          <w:tcPr>
            <w:tcW w:type="dxa" w:w="1296"/>
          </w:tcPr>
          <w:p>
            <w:r>
              <w:rPr>
                <w:rFonts w:ascii="Times New Roman" w:hAnsi="Times New Roman"/>
                <w:sz w:val="20"/>
              </w:rPr>
              <w:t>6 / 88</w:t>
            </w:r>
          </w:p>
        </w:tc>
        <w:tc>
          <w:tcPr>
            <w:tcW w:type="dxa" w:w="1296"/>
          </w:tcPr>
          <w:p>
            <w:r>
              <w:rPr>
                <w:rFonts w:ascii="Times New Roman" w:hAnsi="Times New Roman"/>
                <w:sz w:val="20"/>
              </w:rPr>
              <w:t>18.700</w:t>
            </w:r>
          </w:p>
        </w:tc>
        <w:tc>
          <w:tcPr>
            <w:tcW w:type="dxa" w:w="1296"/>
          </w:tcPr>
          <w:p>
            <w:r>
              <w:rPr>
                <w:rFonts w:ascii="Times New Roman" w:hAnsi="Times New Roman"/>
                <w:sz w:val="20"/>
              </w:rPr>
              <w:t>sole ownership Waldkrone Logistik GmbH</w:t>
            </w:r>
          </w:p>
        </w:tc>
        <w:tc>
          <w:tcPr>
            <w:tcW w:type="dxa" w:w="1296"/>
          </w:tcPr>
          <w:p>
            <w:r>
              <w:rPr>
                <w:rFonts w:ascii="Times New Roman" w:hAnsi="Times New Roman"/>
                <w:sz w:val="20"/>
              </w:rPr>
              <w:t>Altlastenvermerk (Restbestand 2008, contained); investigated June 2025</w:t>
            </w:r>
          </w:p>
        </w:tc>
      </w:tr>
      <w:tr>
        <w:tc>
          <w:tcPr>
            <w:tcW w:type="dxa" w:w="1296"/>
          </w:tcPr>
          <w:p>
            <w:r>
              <w:rPr>
                <w:rFonts w:ascii="Times New Roman" w:hAnsi="Times New Roman"/>
                <w:sz w:val="20"/>
              </w:rPr>
              <w:t>Lagerpark Ruhrbogen</w:t>
            </w:r>
          </w:p>
        </w:tc>
        <w:tc>
          <w:tcPr>
            <w:tcW w:type="dxa" w:w="1296"/>
          </w:tcPr>
          <w:p>
            <w:r>
              <w:rPr>
                <w:rFonts w:ascii="Times New Roman" w:hAnsi="Times New Roman"/>
                <w:sz w:val="20"/>
              </w:rPr>
              <w:t>Industriestraße 47-53, 45307 Essen</w:t>
            </w:r>
          </w:p>
        </w:tc>
        <w:tc>
          <w:tcPr>
            <w:tcW w:type="dxa" w:w="1296"/>
          </w:tcPr>
          <w:p>
            <w:r>
              <w:rPr>
                <w:rFonts w:ascii="Times New Roman" w:hAnsi="Times New Roman"/>
                <w:sz w:val="20"/>
              </w:rPr>
              <w:t>Essen Bl. 49001</w:t>
            </w:r>
          </w:p>
        </w:tc>
        <w:tc>
          <w:tcPr>
            <w:tcW w:type="dxa" w:w="1296"/>
          </w:tcPr>
          <w:p>
            <w:r>
              <w:rPr>
                <w:rFonts w:ascii="Times New Roman" w:hAnsi="Times New Roman"/>
                <w:sz w:val="20"/>
              </w:rPr>
              <w:t>12 / 47A,48,49</w:t>
            </w:r>
          </w:p>
        </w:tc>
        <w:tc>
          <w:tcPr>
            <w:tcW w:type="dxa" w:w="1296"/>
          </w:tcPr>
          <w:p>
            <w:r>
              <w:rPr>
                <w:rFonts w:ascii="Times New Roman" w:hAnsi="Times New Roman"/>
                <w:sz w:val="20"/>
              </w:rPr>
              <w:t>41.500</w:t>
            </w:r>
          </w:p>
        </w:tc>
        <w:tc>
          <w:tcPr>
            <w:tcW w:type="dxa" w:w="1296"/>
          </w:tcPr>
          <w:p>
            <w:r>
              <w:rPr>
                <w:rFonts w:ascii="Times New Roman" w:hAnsi="Times New Roman"/>
                <w:sz w:val="20"/>
              </w:rPr>
              <w:t>mixed: sole ownership (Halle A+B) and Erbbaurecht 88 years (Halle C, until 2089)</w:t>
            </w:r>
          </w:p>
        </w:tc>
        <w:tc>
          <w:tcPr>
            <w:tcW w:type="dxa" w:w="1296"/>
          </w:tcPr>
          <w:p>
            <w:r>
              <w:rPr>
                <w:rFonts w:ascii="Times New Roman" w:hAnsi="Times New Roman"/>
                <w:sz w:val="20"/>
              </w:rPr>
              <w:t>Erbbaurechtsvertrag mit Ruhrbogen Industrieareal AöR</w:t>
            </w:r>
          </w:p>
        </w:tc>
      </w:tr>
    </w:tbl>
    <w:p>
      <w:pPr>
        <w:pStyle w:val="Heading2"/>
      </w:pPr>
      <w:r>
        <w:rPr>
          <w:rFonts w:ascii="Times New Roman" w:hAnsi="Times New Roman"/>
        </w:rPr>
        <w:t>Schedule 8 -- Pre-Signing Steps (Auszug)</w:t>
      </w:r>
    </w:p>
    <w:p>
      <w:pPr>
        <w:jc w:val="left"/>
      </w:pPr>
      <w:r>
        <w:t>Vor Signing wurde innerhalb der Verkäufergruppe eine konzerninterne Umstrukturierung durchgeführt:</w:t>
      </w:r>
    </w:p>
    <w:p>
      <w:pPr>
        <w:pStyle w:val="ListBullet"/>
      </w:pPr>
      <w:r>
        <w:t>22.09.2025: Übertragung Logistikzentrum Haveltor von Nordtor Property Brandenburg GmbH auf Waldkrone Property Brandenburg GmbH (innerverbundlich, mit Berufung auf § 6a GrEStG, Begünstigung Konzern).</w:t>
      </w:r>
    </w:p>
    <w:p>
      <w:pPr>
        <w:pStyle w:val="ListBullet"/>
      </w:pPr>
      <w:r>
        <w:t>12.10.2025: Verschmelzung Nordtor Logistik Holding GmbH auf Waldkrone Logistik GmbH (steuerneutral, § 6a GrEStG).</w:t>
      </w:r>
    </w:p>
    <w:p>
      <w:pPr>
        <w:jc w:val="left"/>
      </w:pPr>
      <w:r>
        <w:rPr>
          <w:b/>
        </w:rPr>
        <w:t>Status der Vorab-Umstrukturierung:</w:t>
      </w:r>
      <w:r>
        <w:t xml:space="preserve"> noch nicht abschließend bestandskräftig festgestellt; Anzeige beim FA Oranienburg ist erfolgt, Bescheid steht aus.</w:t>
      </w:r>
    </w:p>
    <w:p>
      <w:pPr>
        <w:pStyle w:val="Heading2"/>
      </w:pPr>
      <w:r>
        <w:rPr>
          <w:rFonts w:ascii="Times New Roman" w:hAnsi="Times New Roman"/>
        </w:rPr>
        <w:t>Steuerrechtliche Auffälligkeiten (intern, RA Petrich, 11.05.2026)</w:t>
      </w:r>
    </w:p>
    <w:p>
      <w:pPr>
        <w:pStyle w:val="ListNumber"/>
      </w:pPr>
      <w:r>
        <w:t xml:space="preserve">Die Klausel 17.3 spricht von "triggered by consummation" und "at Closing". Eine zusätzliche </w:t>
      </w:r>
      <w:r>
        <w:rPr>
          <w:b/>
        </w:rPr>
        <w:t>Signing-Festsetzung</w:t>
      </w:r>
      <w:r>
        <w:t xml:space="preserve"> (Anknüpfung an die Verpflichtungsbegründung vom 12.12.2025) ist nicht ausdrücklich geregelt.</w:t>
      </w:r>
    </w:p>
    <w:p>
      <w:pPr>
        <w:pStyle w:val="ListNumber"/>
      </w:pPr>
      <w:r>
        <w:t>Der Escrow (2,4 Mio. EUR) deckt die erwartete einfache GrESt (rechnerisch ca. 2,12 Mio. EUR bei 6 -- 6,5 % auf die Grundbesitzwerte) ungefähr ab, aber nicht eine doppelte Festsetzung plus Säumniszuschläge/Verzugszinsen.</w:t>
      </w:r>
    </w:p>
    <w:p>
      <w:pPr>
        <w:pStyle w:val="ListNumber"/>
      </w:pPr>
      <w:r>
        <w:t xml:space="preserve">Die Verfahrenskontrolle (Clause 17.5) liegt beim Käufer </w:t>
      </w:r>
      <w:r>
        <w:rPr>
          <w:b/>
        </w:rPr>
        <w:t>nur für Closing-Steuern</w:t>
      </w:r>
      <w:r>
        <w:t>. Bei einer Signing-Festsetzung gegen Verkäufer oder Zielgesellschaft kann Streit entstehen, wer das Verfahren führt.</w:t>
      </w:r>
    </w:p>
    <w:p>
      <w:pPr>
        <w:pStyle w:val="ListNumber"/>
      </w:pPr>
      <w:r>
        <w:t xml:space="preserve">Eine ausdrückliche </w:t>
      </w:r>
      <w:r>
        <w:rPr>
          <w:b/>
        </w:rPr>
        <w:t>Cooperation-Pflicht</w:t>
      </w:r>
      <w:r>
        <w:t xml:space="preserve"> für Anträge nach § 16 GrEStG (Rückgängigmachung) fehlt. Falls die GrESt nach § 16 reduziert werden kann, sind Verkäufer und Zielgesellschaft mitwirkungspflichtig -- aber nicht eindeutig nach SPA.</w:t>
      </w:r>
    </w:p>
    <w:p>
      <w:pPr>
        <w:pStyle w:val="ListNumber"/>
      </w:pPr>
      <w:r>
        <w:t xml:space="preserve">Keine klare Regel zur </w:t>
      </w:r>
      <w:r>
        <w:rPr>
          <w:b/>
        </w:rPr>
        <w:t>Sicherheitsleistung</w:t>
      </w:r>
      <w:r>
        <w:t xml:space="preserve"> bei AdV. Clause 17.6 schließt sogar ausdrücklich aus, dass der Escrow für Sicherheitsleistungen genutzt werden darf (S. 165 oben). Das ist für die Käuferseite eine Liquiditätsfalle.</w:t>
      </w:r>
    </w:p>
    <w:p>
      <w:pPr>
        <w:pStyle w:val="ListNumber"/>
      </w:pPr>
      <w:r>
        <w:t>Die § 6a-Berufung auf Konzernverbundenheit für die Vorab-Umstrukturierung (Schedule 8) ist nicht final geprüft. Falls FA Oranienburg die § 6a-Begünstigung verweigert, könnte zusätzlich GrESt auf die innerverbundliche Übertragung anfallen -- formal liegt das vor Signing, aber wird wirtschaftlich vom Käufer mitgetragen, weil über Equity Value eingepreist.</w:t>
      </w:r>
    </w:p>
    <w:p>
      <w:pPr>
        <w:pStyle w:val="ListNumber"/>
      </w:pPr>
      <w:r>
        <w:t>Time Limit von 7 Jahren ab Closing für Seller-Indemnity (Clause 17.8) -- für GrESt-Themen ggf. zu kurz, weil Verfahren über § 16 GrEStG / nachträgliche Aufhebung jahrelang dauern können.</w:t>
      </w:r>
    </w:p>
    <w:p>
      <w:pPr>
        <w:pStyle w:val="Heading2"/>
      </w:pPr>
      <w:r>
        <w:rPr>
          <w:rFonts w:ascii="Times New Roman" w:hAnsi="Times New Roman"/>
        </w:rPr>
        <w:t>Hinweis Datenraum</w:t>
      </w:r>
    </w:p>
    <w:p>
      <w:pPr>
        <w:jc w:val="left"/>
      </w:pPr>
      <w:r>
        <w:t>Die englische Originalfassung des SPA liegt im Datenraum (Datasite, Project Waldkrone, Folder 1.1 / Tab "SPA Final"). Eine deutsche Arbeitsübersetzung der Tax-Klauseln existiert nicht; die Mandantin hat keine Übersetzung beauftragt. Falls die Mandantin im Streitverfahren mit dem Finanzamt deutsche Übersetzungen vorlegen muss, sollte das frühzeitig angesprochen werden (Übersetzungskosten ca. 1.800 -- 2.200 EUR netto laut Vorabauskunft Verlagsbüro Lichtblau Übersetzungen).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Vertragssprache: Englisch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Vertragssprache: Englisch</w:t>
    </w:r>
  </w:p>
  <w:p>
    <w:pPr>
      <w:jc w:val="left"/>
      <w:pBdr>
        <w:bottom w:val="single" w:sz="6" w:space="2" w:color="3B3F45"/>
      </w:pBdr>
    </w:pPr>
    <w:r>
      <w:rPr>
        <w:rFonts w:ascii="Times New Roman" w:hAnsi="Times New Roman"/>
        <w:color w:val="6B6B66"/>
        <w:sz w:val="16"/>
      </w:rPr>
      <w:t>Rechtswahl deutsches Recht, Gerichtsstand Frankfurt am Main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