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Anzeige nach § 19 GrEStG</w:t>
      </w:r>
    </w:p>
    <w:p>
      <w:pPr>
        <w:jc w:val="left"/>
      </w:pPr>
      <w:r>
        <w:rPr>
          <w:b/>
        </w:rPr>
        <w:t>Absender:</w:t>
      </w:r>
      <w:r>
        <w:t xml:space="preserve"> SHC Germany HoldCo GmbH, vertreten durch Geschäftsführerin Sarah Killeen, Anschrift: Lyoner Straße 14, 60528 Frankfurt am Main</w:t>
      </w:r>
    </w:p>
    <w:p>
      <w:pPr>
        <w:jc w:val="left"/>
      </w:pPr>
      <w:r>
        <w:rPr>
          <w:b/>
        </w:rPr>
        <w:t>Empfänger (drei Anzeigen, sinngemäß gleich):</w:t>
      </w:r>
    </w:p>
    <w:p>
      <w:pPr>
        <w:pStyle w:val="ListNumber"/>
      </w:pPr>
      <w:r>
        <w:t>Finanzamt Oranienburg, Heinrich-Grüber-Platz 3, 16515 Oranienburg</w:t>
      </w:r>
    </w:p>
    <w:p>
      <w:pPr>
        <w:pStyle w:val="ListNumber"/>
      </w:pPr>
      <w:r>
        <w:t>Finanzamt Frankfurt am Main IV (GrESt-Stelle), Gutleutstraße 124, 60327 Frankfurt am Main</w:t>
      </w:r>
    </w:p>
    <w:p>
      <w:pPr>
        <w:pStyle w:val="ListNumber"/>
      </w:pPr>
      <w:r>
        <w:t>Finanzamt Essen-Süd (GrESt-Stelle), Altendorfer Straße 1, 45127 Essen</w:t>
      </w:r>
    </w:p>
    <w:p>
      <w:pPr>
        <w:jc w:val="left"/>
      </w:pPr>
      <w:r>
        <w:rPr>
          <w:b/>
        </w:rPr>
        <w:t>Betreff:</w:t>
      </w:r>
      <w:r>
        <w:t xml:space="preserve"> Anzeige eines Erwerbsvorgangs gemäß § 19 GrEStG betreffend Waldkrone Logistik GmbH (Sitz Potsdam, HRB 39001 AG Potsdam)</w:t>
      </w:r>
    </w:p>
    <w:p>
      <w:pPr>
        <w:jc w:val="left"/>
      </w:pPr>
      <w:r>
        <w:rPr>
          <w:b/>
        </w:rPr>
        <w:t>Anlagen:</w:t>
      </w:r>
      <w:r>
        <w:t xml:space="preserve"> 7 Anlagen (siehe unten)</w:t>
      </w:r>
    </w:p>
    <w:p>
      <w:pPr>
        <w:jc w:val="left"/>
      </w:pPr>
      <w:r>
        <w:rPr>
          <w:b/>
        </w:rPr>
        <w:t>Unser Zeichen:</w:t>
      </w:r>
      <w:r>
        <w:t xml:space="preserve"> AKB 2025-1144 / Anzeige Waldkrone</w:t>
      </w:r>
    </w:p>
    <w:p>
      <w:pPr>
        <w:jc w:val="left"/>
      </w:pPr>
      <w:r>
        <w:rPr>
          <w:b/>
        </w:rPr>
        <w:t>Datum Entwurf:</w:t>
      </w:r>
      <w:r>
        <w:t xml:space="preserve"> 06.05.2026</w:t>
      </w:r>
    </w:p>
    <w:p>
      <w:pPr>
        <w:jc w:val="left"/>
      </w:pPr>
      <w:r>
        <w:rPr>
          <w:b/>
        </w:rPr>
        <w:t>Versanddatum:</w:t>
      </w:r>
      <w:r>
        <w:t xml:space="preserve"> 08.05.2026 (Einschreiben Rückschein)</w:t>
      </w:r>
    </w:p>
    <w:p>
      <w:pPr>
        <w:jc w:val="left"/>
      </w:pPr>
      <w:r>
        <w:t>Sehr geehrte Damen und Herren,</w:t>
      </w:r>
    </w:p>
    <w:p>
      <w:pPr>
        <w:jc w:val="left"/>
      </w:pPr>
      <w:r>
        <w:t>namens und im Auftrag unserer Mandantin SHC Germany HoldCo GmbH zeigen wir hiermit fristgerecht und vorsorglich einen grunderwerbsteuerlich relevanten Anteilserwerb betreffend die Waldkrone Logistik GmbH an.</w:t>
      </w:r>
    </w:p>
    <w:p>
      <w:pPr>
        <w:pStyle w:val="Heading2"/>
      </w:pPr>
      <w:r>
        <w:rPr>
          <w:rFonts w:ascii="Times New Roman" w:hAnsi="Times New Roman"/>
        </w:rPr>
        <w:t>I. Beteiligte</w:t>
      </w:r>
    </w:p>
    <w:p>
      <w:pPr>
        <w:pStyle w:val="ListBullet"/>
      </w:pPr>
      <w:r>
        <w:t>Verkäuferin: Nordtor Beteiligungen GmbH, Hamburg, HRB 187452 AG Hamburg.</w:t>
      </w:r>
    </w:p>
    <w:p>
      <w:pPr>
        <w:pStyle w:val="ListBullet"/>
      </w:pPr>
      <w:r>
        <w:t>Käuferin: SHC Germany HoldCo GmbH, Frankfurt am Main, HRB 124889 AG Frankfurt.</w:t>
      </w:r>
    </w:p>
    <w:p>
      <w:pPr>
        <w:pStyle w:val="ListBullet"/>
      </w:pPr>
      <w:r>
        <w:t>Muttergesellschaft der Käuferin: Silver Harbour Capital plc, Dublin (Irland), Euronext Dublin.</w:t>
      </w:r>
    </w:p>
    <w:p>
      <w:pPr>
        <w:pStyle w:val="ListBullet"/>
      </w:pPr>
      <w:r>
        <w:t>Zielgesellschaft: Waldkrone Logistik GmbH, Potsdam, HRB 39001 AG Potsdam.</w:t>
      </w:r>
    </w:p>
    <w:p>
      <w:pPr>
        <w:pStyle w:val="Heading2"/>
      </w:pPr>
      <w:r>
        <w:rPr>
          <w:rFonts w:ascii="Times New Roman" w:hAnsi="Times New Roman"/>
        </w:rPr>
        <w:t>II. Erwerbsvorgang</w:t>
      </w:r>
    </w:p>
    <w:p>
      <w:pPr>
        <w:jc w:val="left"/>
      </w:pPr>
      <w:r>
        <w:t>Am 12.12.2025 wurde vor Notar Dr. Friedjoff Wagensteiner (Frankfurt am Main, UR-Nr. 1287/2025) ein Anteilskaufvertrag über sämtliche Geschäftsanteile (100 %) an der Waldkrone Logistik GmbH geschlossen. Das Closing erfolgte am 30.04.2026 (UR-Nr. 487/2026, Abtretungserklärung). Mit Closing wurden die Geschäftsanteile dinglich an die SHC Germany HoldCo GmbH übertragen. Die geänderte Gesellschafterliste wurde am 02.05.2026 zum Handelsregister AG Potsdam eingereicht; die Aufnahme erfolgte am 05.05.2026.</w:t>
      </w:r>
    </w:p>
    <w:p>
      <w:pPr>
        <w:pStyle w:val="Heading2"/>
      </w:pPr>
      <w:r>
        <w:rPr>
          <w:rFonts w:ascii="Times New Roman" w:hAnsi="Times New Roman"/>
        </w:rPr>
        <w:t>III. Grundbesitz</w:t>
      </w:r>
    </w:p>
    <w:p>
      <w:pPr>
        <w:jc w:val="left"/>
      </w:pPr>
      <w:r>
        <w:t xml:space="preserve">Die Zielgesellschaft hält -- teils unmittelbar, teils mittelbar -- inländischen Grundbesitz in den Bundesländern Brandenburg, Hessen und Nordrhein-Westfalen. Die vollständige Grundstücksliste, jeweilige Grundbesitzwerte (Stand 31.12.2024) und Grundbucheinträge sind als </w:t>
      </w:r>
      <w:r>
        <w:rPr>
          <w:b/>
        </w:rPr>
        <w:t>Anlage 5</w:t>
      </w:r>
      <w:r>
        <w:t xml:space="preserve"> beigefügt. Im Einzelnen:</w:t>
      </w:r>
    </w:p>
    <w:p>
      <w:pPr>
        <w:pStyle w:val="ListBullet"/>
      </w:pPr>
      <w:r>
        <w:t>Logistikzentrum Haveltor (Potsdam, Brandenburg) -- Grundbesitzwert 11.800.000 EUR.</w:t>
      </w:r>
    </w:p>
    <w:p>
      <w:pPr>
        <w:pStyle w:val="ListBullet"/>
      </w:pPr>
      <w:r>
        <w:t>Umschlaghalle Mainbogen (Frankfurt am Main, Hessen) -- Grundbesitzwert 8.400.000 EUR.</w:t>
      </w:r>
    </w:p>
    <w:p>
      <w:pPr>
        <w:pStyle w:val="ListBullet"/>
      </w:pPr>
      <w:r>
        <w:t>Lagerpark Ruhrbogen (Essen, Nordrhein-Westfalen) -- Grundbesitzwert 14.600.000 EUR; Teilfläche im Erbbaurecht.</w:t>
      </w:r>
    </w:p>
    <w:p>
      <w:pPr>
        <w:jc w:val="left"/>
      </w:pPr>
      <w:r>
        <w:t>Gesamter Grundbesitzwert: 34.800.000 EUR.</w:t>
      </w:r>
    </w:p>
    <w:p>
      <w:pPr>
        <w:pStyle w:val="Heading2"/>
      </w:pPr>
      <w:r>
        <w:rPr>
          <w:rFonts w:ascii="Times New Roman" w:hAnsi="Times New Roman"/>
        </w:rPr>
        <w:t>IV. Rechtsstandpunkt und Vorbehalt</w:t>
      </w:r>
    </w:p>
    <w:p>
      <w:pPr>
        <w:jc w:val="left"/>
      </w:pPr>
      <w:r>
        <w:t xml:space="preserve">Die Anzeige erfolgt </w:t>
      </w:r>
      <w:r>
        <w:rPr>
          <w:b/>
        </w:rPr>
        <w:t>vorsorglich</w:t>
      </w:r>
      <w:r>
        <w:t xml:space="preserve"> und </w:t>
      </w:r>
      <w:r>
        <w:rPr>
          <w:b/>
        </w:rPr>
        <w:t>ohne Anerkennung einer mehrfachen grunderwerbsteuerlichen Belastung</w:t>
      </w:r>
      <w:r>
        <w:t>. Sollte aufgrund des Auseinanderfallens von Signing (12.12.2025) und Closing (30.04.2026) die Verwaltungsauffassung sein, dass mehrere Tatbestände parallel verwirklicht wurden, so erbitten wir vor Erlass eines Steuerbescheids eine vorherige Anhörung. Wir verweisen ausdrücklich darauf, dass die jüngere Rechtsprechung des Bundesfinanzhofs in Aussetzungsverfahren ernstliche Zweifel an einer doppelten Festsetzung beim zeitlichen Auseinanderfallen von Signing und Closing geäußert hat.</w:t>
      </w:r>
    </w:p>
    <w:p>
      <w:pPr>
        <w:jc w:val="left"/>
      </w:pPr>
      <w:r>
        <w:t>Wir behalten uns vor, sämtliche Rechtsbehelfe einzulegen und Anträge nach § 16 GrEStG zu stellen, soweit dies aufgrund des konkreten Bescheidinhalts erforderlich werden sollte.</w:t>
      </w:r>
    </w:p>
    <w:p>
      <w:pPr>
        <w:pStyle w:val="Heading2"/>
      </w:pPr>
      <w:r>
        <w:rPr>
          <w:rFonts w:ascii="Times New Roman" w:hAnsi="Times New Roman"/>
        </w:rPr>
        <w:t>V. Allokation des Grundbesitzwerts auf belegenheitszuständige Stellen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Bundesland</w:t>
            </w:r>
          </w:p>
        </w:tc>
        <w:tc>
          <w:tcPr>
            <w:tcW w:type="dxa" w:w="2268"/>
          </w:tcPr>
          <w:p>
            <w:r>
              <w:rPr>
                <w:rFonts w:ascii="Times New Roman" w:hAnsi="Times New Roman"/>
                <w:b/>
                <w:sz w:val="20"/>
              </w:rPr>
              <w:t>Belegenheits-FA</w:t>
            </w:r>
          </w:p>
        </w:tc>
        <w:tc>
          <w:tcPr>
            <w:tcW w:type="dxa" w:w="2268"/>
          </w:tcPr>
          <w:p>
            <w:r>
              <w:rPr>
                <w:rFonts w:ascii="Times New Roman" w:hAnsi="Times New Roman"/>
                <w:b/>
                <w:sz w:val="20"/>
              </w:rPr>
              <w:t>Grundbesitzwert (EUR)</w:t>
            </w:r>
          </w:p>
        </w:tc>
        <w:tc>
          <w:tcPr>
            <w:tcW w:type="dxa" w:w="2268"/>
          </w:tcPr>
          <w:p>
            <w:r>
              <w:rPr>
                <w:rFonts w:ascii="Times New Roman" w:hAnsi="Times New Roman"/>
                <w:b/>
                <w:sz w:val="20"/>
              </w:rPr>
              <w:t>Anteilige GrESt-Belastung (Arbeitshypothese)</w:t>
            </w:r>
          </w:p>
        </w:tc>
      </w:tr>
      <w:tr>
        <w:tc>
          <w:tcPr>
            <w:tcW w:type="dxa" w:w="2268"/>
          </w:tcPr>
          <w:p>
            <w:r>
              <w:rPr>
                <w:rFonts w:ascii="Times New Roman" w:hAnsi="Times New Roman"/>
                <w:sz w:val="20"/>
              </w:rPr>
              <w:t>Brandenburg</w:t>
            </w:r>
          </w:p>
        </w:tc>
        <w:tc>
          <w:tcPr>
            <w:tcW w:type="dxa" w:w="2268"/>
          </w:tcPr>
          <w:p>
            <w:r>
              <w:rPr>
                <w:rFonts w:ascii="Times New Roman" w:hAnsi="Times New Roman"/>
                <w:sz w:val="20"/>
              </w:rPr>
              <w:t>FA Oranienburg</w:t>
            </w:r>
          </w:p>
        </w:tc>
        <w:tc>
          <w:tcPr>
            <w:tcW w:type="dxa" w:w="2268"/>
          </w:tcPr>
          <w:p>
            <w:r>
              <w:rPr>
                <w:rFonts w:ascii="Times New Roman" w:hAnsi="Times New Roman"/>
                <w:sz w:val="20"/>
              </w:rPr>
              <w:t>11.800.000</w:t>
            </w:r>
          </w:p>
        </w:tc>
        <w:tc>
          <w:tcPr>
            <w:tcW w:type="dxa" w:w="2268"/>
          </w:tcPr>
          <w:p>
            <w:r>
              <w:rPr>
                <w:rFonts w:ascii="Times New Roman" w:hAnsi="Times New Roman"/>
                <w:sz w:val="20"/>
              </w:rPr>
              <w:t>6,5 % = 767.000,00 EUR</w:t>
            </w:r>
          </w:p>
        </w:tc>
      </w:tr>
      <w:tr>
        <w:tc>
          <w:tcPr>
            <w:tcW w:type="dxa" w:w="2268"/>
          </w:tcPr>
          <w:p>
            <w:r>
              <w:rPr>
                <w:rFonts w:ascii="Times New Roman" w:hAnsi="Times New Roman"/>
                <w:sz w:val="20"/>
              </w:rPr>
              <w:t>Hessen</w:t>
            </w:r>
          </w:p>
        </w:tc>
        <w:tc>
          <w:tcPr>
            <w:tcW w:type="dxa" w:w="2268"/>
          </w:tcPr>
          <w:p>
            <w:r>
              <w:rPr>
                <w:rFonts w:ascii="Times New Roman" w:hAnsi="Times New Roman"/>
                <w:sz w:val="20"/>
              </w:rPr>
              <w:t>FA Frankfurt am Main IV</w:t>
            </w:r>
          </w:p>
        </w:tc>
        <w:tc>
          <w:tcPr>
            <w:tcW w:type="dxa" w:w="2268"/>
          </w:tcPr>
          <w:p>
            <w:r>
              <w:rPr>
                <w:rFonts w:ascii="Times New Roman" w:hAnsi="Times New Roman"/>
                <w:sz w:val="20"/>
              </w:rPr>
              <w:t>8.400.000</w:t>
            </w:r>
          </w:p>
        </w:tc>
        <w:tc>
          <w:tcPr>
            <w:tcW w:type="dxa" w:w="2268"/>
          </w:tcPr>
          <w:p>
            <w:r>
              <w:rPr>
                <w:rFonts w:ascii="Times New Roman" w:hAnsi="Times New Roman"/>
                <w:sz w:val="20"/>
              </w:rPr>
              <w:t>6,0 % = 504.000,00 EUR</w:t>
            </w:r>
          </w:p>
        </w:tc>
      </w:tr>
      <w:tr>
        <w:tc>
          <w:tcPr>
            <w:tcW w:type="dxa" w:w="2268"/>
          </w:tcPr>
          <w:p>
            <w:r>
              <w:rPr>
                <w:rFonts w:ascii="Times New Roman" w:hAnsi="Times New Roman"/>
                <w:sz w:val="20"/>
              </w:rPr>
              <w:t>Nordrhein-Westfalen</w:t>
            </w:r>
          </w:p>
        </w:tc>
        <w:tc>
          <w:tcPr>
            <w:tcW w:type="dxa" w:w="2268"/>
          </w:tcPr>
          <w:p>
            <w:r>
              <w:rPr>
                <w:rFonts w:ascii="Times New Roman" w:hAnsi="Times New Roman"/>
                <w:sz w:val="20"/>
              </w:rPr>
              <w:t>FA Essen-Süd</w:t>
            </w:r>
          </w:p>
        </w:tc>
        <w:tc>
          <w:tcPr>
            <w:tcW w:type="dxa" w:w="2268"/>
          </w:tcPr>
          <w:p>
            <w:r>
              <w:rPr>
                <w:rFonts w:ascii="Times New Roman" w:hAnsi="Times New Roman"/>
                <w:sz w:val="20"/>
              </w:rPr>
              <w:t>14.600.000</w:t>
            </w:r>
          </w:p>
        </w:tc>
        <w:tc>
          <w:tcPr>
            <w:tcW w:type="dxa" w:w="2268"/>
          </w:tcPr>
          <w:p>
            <w:r>
              <w:rPr>
                <w:rFonts w:ascii="Times New Roman" w:hAnsi="Times New Roman"/>
                <w:sz w:val="20"/>
              </w:rPr>
              <w:t>6,5 % = 949.000,00 EUR</w:t>
            </w:r>
          </w:p>
        </w:tc>
      </w:tr>
      <w:tr>
        <w:tc>
          <w:tcPr>
            <w:tcW w:type="dxa" w:w="2268"/>
          </w:tcPr>
          <w:p>
            <w:r>
              <w:rPr>
                <w:rFonts w:ascii="Times New Roman" w:hAnsi="Times New Roman"/>
                <w:b/>
                <w:sz w:val="20"/>
              </w:rPr>
              <w:t>Summe</w:t>
            </w:r>
          </w:p>
        </w:tc>
        <w:tc>
          <w:tcPr>
            <w:tcW w:type="dxa" w:w="2268"/>
          </w:tcPr>
          <w:p/>
        </w:tc>
        <w:tc>
          <w:tcPr>
            <w:tcW w:type="dxa" w:w="2268"/>
          </w:tcPr>
          <w:p>
            <w:r>
              <w:rPr>
                <w:rFonts w:ascii="Times New Roman" w:hAnsi="Times New Roman"/>
                <w:b/>
                <w:sz w:val="20"/>
              </w:rPr>
              <w:t>34.800.000</w:t>
            </w:r>
          </w:p>
        </w:tc>
        <w:tc>
          <w:tcPr>
            <w:tcW w:type="dxa" w:w="2268"/>
          </w:tcPr>
          <w:p>
            <w:r>
              <w:rPr>
                <w:rFonts w:ascii="Times New Roman" w:hAnsi="Times New Roman"/>
                <w:b/>
                <w:sz w:val="20"/>
              </w:rPr>
              <w:t>2.220.000,00 EUR</w:t>
            </w:r>
          </w:p>
        </w:tc>
      </w:tr>
    </w:tbl>
    <w:p>
      <w:pPr>
        <w:pStyle w:val="Heading2"/>
      </w:pPr>
      <w:r>
        <w:rPr>
          <w:rFonts w:ascii="Times New Roman" w:hAnsi="Times New Roman"/>
        </w:rPr>
        <w:t>VI. Vorab-Umstrukturierung (Schedule 8 SPA, Konzern-Begünstigung)</w:t>
      </w:r>
    </w:p>
    <w:p>
      <w:pPr>
        <w:jc w:val="left"/>
      </w:pPr>
      <w:r>
        <w:t>Wir weisen darauf hin, dass die Vorab-Umstrukturierung im September / Oktober 2025 (Übertragung Logistikzentrum Haveltor auf Waldkrone Property Brandenburg GmbH; Verschmelzung Nordtor Logistik Holding auf Waldkrone Logistik GmbH) unter Berufung auf § 6a GrEStG (Konzernklausel) durchgeführt wurde. Eine entsprechende Anzeige wurde bereits am 14.10.2025 beim Finanzamt Oranienburg erstattet (eigenes Aktenzeichen 7-2025/HV-006a). Die endgültige Feststellung dazu steht noch aus.</w:t>
      </w:r>
    </w:p>
    <w:p>
      <w:pPr>
        <w:pStyle w:val="Heading2"/>
      </w:pPr>
      <w:r>
        <w:rPr>
          <w:rFonts w:ascii="Times New Roman" w:hAnsi="Times New Roman"/>
        </w:rPr>
        <w:t>VII. Anlagen</w:t>
      </w:r>
    </w:p>
    <w:p>
      <w:pPr>
        <w:pStyle w:val="ListNumber"/>
      </w:pPr>
      <w:r>
        <w:t>SPA-Auszug Clauses 17.3 -- 17.8 (Original Englisch).</w:t>
      </w:r>
    </w:p>
    <w:p>
      <w:pPr>
        <w:pStyle w:val="ListNumber"/>
      </w:pPr>
      <w:r>
        <w:t>Closing Memorandum vom 30.04.2026 (Original Deutsch / Englisch zweisprachig).</w:t>
      </w:r>
    </w:p>
    <w:p>
      <w:pPr>
        <w:pStyle w:val="ListNumber"/>
      </w:pPr>
      <w:r>
        <w:t>Gesellschafterliste alt / neu der Waldkrone Logistik GmbH (HRB 39001 AG Potsdam).</w:t>
      </w:r>
    </w:p>
    <w:p>
      <w:pPr>
        <w:pStyle w:val="ListNumber"/>
      </w:pPr>
      <w:r>
        <w:t>Organigramm vor / nach Closing (Stand 30.04.2026).</w:t>
      </w:r>
    </w:p>
    <w:p>
      <w:pPr>
        <w:pStyle w:val="ListNumber"/>
      </w:pPr>
      <w:r>
        <w:t>Grundstücksliste mit Grundbesitzwerten (Stand 31.12.2024).</w:t>
      </w:r>
    </w:p>
    <w:p>
      <w:pPr>
        <w:pStyle w:val="ListNumber"/>
      </w:pPr>
      <w:r>
        <w:t>Auszug Schedule 7 SPA (Real Estate Properties).</w:t>
      </w:r>
    </w:p>
    <w:p>
      <w:pPr>
        <w:pStyle w:val="ListNumber"/>
      </w:pPr>
      <w:r>
        <w:t>Auszug Schedule 8 SPA (Pre-Signing Steps).</w:t>
      </w:r>
    </w:p>
    <w:p>
      <w:pPr>
        <w:jc w:val="left"/>
      </w:pPr>
      <w:r>
        <w:t>Mit freundlichen Grüßen</w:t>
      </w:r>
    </w:p>
    <w:p>
      <w:pPr>
        <w:jc w:val="left"/>
      </w:pPr>
      <w:r>
        <w:t>SHC Germany HoldCo GmbH</w:t>
      </w:r>
    </w:p>
    <w:p>
      <w:pPr>
        <w:jc w:val="left"/>
      </w:pPr>
      <w:r>
        <w:t>Sarah Killeen (Geschäftsführerin)</w:t>
      </w:r>
    </w:p>
    <w:p>
      <w:pPr>
        <w:jc w:val="left"/>
      </w:pPr>
      <w:r>
        <w:t>vertreten durch:</w:t>
      </w:r>
    </w:p>
    <w:p>
      <w:pPr>
        <w:jc w:val="left"/>
      </w:pPr>
      <w:r>
        <w:t>Alvensleben Kayser Becker Rechtsanwälte PartG mbB</w:t>
      </w:r>
    </w:p>
    <w:p>
      <w:pPr>
        <w:jc w:val="left"/>
      </w:pPr>
      <w:r>
        <w:t>Dr. Henriette Alvensleben, Dr. Bertram Holzschuh, Susanne Petrich</w:t>
      </w:r>
    </w:p>
    <w:p>
      <w:pPr>
        <w:pStyle w:val="Heading2"/>
      </w:pPr>
      <w:r>
        <w:rPr>
          <w:rFonts w:ascii="Times New Roman" w:hAnsi="Times New Roman"/>
        </w:rPr>
        <w:t>Interner Hinweis (NICHT VERSANDFASSUNG)</w:t>
      </w:r>
    </w:p>
    <w:p>
      <w:pPr>
        <w:jc w:val="left"/>
      </w:pPr>
      <w:r>
        <w:t>Vor Versand zu prüfen / abzuhaken (RA Petrich, 06.05.2026):</w:t>
      </w:r>
    </w:p>
    <w:p>
      <w:pPr>
        <w:pStyle w:val="ListBullet"/>
      </w:pPr>
      <w:r>
        <w:t>[x] Belegenheitszuständigkeit für die drei Grundstücke jeweils zutreffend?</w:t>
      </w:r>
    </w:p>
    <w:p>
      <w:pPr>
        <w:pStyle w:val="ListBullet"/>
      </w:pPr>
      <w:r>
        <w:t>[x] Länderspezifische Formvorgaben (Brandenburg verlangt seit 2024 Anzeige auch elektronisch via FinanzOnline-Portal -- erledigt).</w:t>
      </w:r>
    </w:p>
    <w:p>
      <w:pPr>
        <w:pStyle w:val="ListBullet"/>
      </w:pPr>
      <w:r>
        <w:t>[x] Versandnachweise (Einschreiben Rückschein, Datasite-Upload-Quittung) im Post-Closing-Tracker speichern.</w:t>
      </w:r>
    </w:p>
    <w:p>
      <w:pPr>
        <w:pStyle w:val="ListBullet"/>
      </w:pPr>
      <w:r>
        <w:t>[x] Anzeigeentwurf von Mandantin (S. Killeen) freigegeben am 06.05.2026 16:42 per Mail.</w:t>
      </w:r>
    </w:p>
    <w:p>
      <w:pPr>
        <w:pStyle w:val="ListBullet"/>
      </w:pPr>
      <w:r>
        <w:t>[ ] Übersetzung der englischen Anlagen ins Deutsche? -- noch nicht beauftragt, FA fordert ggf. nach.</w:t>
      </w:r>
    </w:p>
    <w:p>
      <w:pPr>
        <w:pStyle w:val="ListBullet"/>
      </w:pPr>
      <w:r>
        <w:t>[ ] Doppel der Anzeige an Verkäuferin (Nordtor Beteiligungen GmbH) zur Kenntnis? -- nach Clause 17.5 SPA wechselseitige Mitteilung erforderlich; Doppel ist am 08.05.2026 an Verkäuferin gegangen.</w:t>
      </w:r>
    </w:p>
    <w:p>
      <w:pPr>
        <w:pStyle w:val="ListBullet"/>
      </w:pPr>
      <w:r>
        <w:t>[ ] Doppel an SHC Germany HoldCo Buchhaltung für Bilanzrückstellung Q2/2026.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SHC Germany HoldCo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SHC Germany HoldCo GmbH</w:t>
    </w:r>
  </w:p>
  <w:p>
    <w:pPr>
      <w:jc w:val="left"/>
      <w:pBdr>
        <w:bottom w:val="single" w:sz="6" w:space="2" w:color="8A6A1F"/>
      </w:pBdr>
    </w:pPr>
    <w:r>
      <w:rPr>
        <w:rFonts w:ascii="Times New Roman" w:hAnsi="Times New Roman"/>
        <w:color w:val="6B6B66"/>
        <w:sz w:val="16"/>
      </w:rPr>
      <w:t>vertreten durch Geschäftsführerin Sarah Killeen, Anschrift: Lyoner Straße 14, 60528 Frankfurt am Main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