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Finanzamtskorrespondenz und AdV-Notiz</w:t>
      </w:r>
    </w:p>
    <w:p>
      <w:pPr>
        <w:pStyle w:val="Heading2"/>
      </w:pPr>
      <w:r>
        <w:rPr>
          <w:rFonts w:ascii="Times New Roman" w:hAnsi="Times New Roman"/>
        </w:rPr>
        <w:t>Telefonnotiz Finanzamt Oranienburg</w:t>
      </w:r>
    </w:p>
    <w:p>
      <w:pPr>
        <w:jc w:val="left"/>
      </w:pPr>
      <w:r>
        <w:rPr>
          <w:b/>
        </w:rPr>
        <w:t>Datum:</w:t>
      </w:r>
      <w:r>
        <w:t xml:space="preserve"> 12.05.2026, 14:15 Uhr (Dauer 22 Minuten)</w:t>
      </w:r>
    </w:p>
    <w:p>
      <w:pPr>
        <w:jc w:val="left"/>
      </w:pPr>
      <w:r>
        <w:rPr>
          <w:b/>
        </w:rPr>
        <w:t>Teilnehmer:</w:t>
      </w:r>
      <w:r>
        <w:t xml:space="preserve"> Frau Kornelia Berger, GrESt-Stelle FA Oranienburg, Sb-Nr. 7-2026/GD; RA Dr. Henriette Alvensleben (federführend), Frau Petrich (auf Mithörfunktion)</w:t>
      </w:r>
    </w:p>
    <w:p>
      <w:pPr>
        <w:jc w:val="left"/>
      </w:pPr>
      <w:r>
        <w:rPr>
          <w:b/>
        </w:rPr>
        <w:t>Anlass:</w:t>
      </w:r>
      <w:r>
        <w:t xml:space="preserve"> Eingangsbestätigung Anzeige § 19 GrEStG vom 08.05.2026 / Vorprüfung</w:t>
      </w:r>
    </w:p>
    <w:p>
      <w:pPr>
        <w:jc w:val="left"/>
      </w:pPr>
      <w:r>
        <w:rPr>
          <w:b/>
        </w:rPr>
        <w:t>Aktenzeichen FA:</w:t>
      </w:r>
      <w:r>
        <w:t xml:space="preserve"> 7-2026/GD-2256 (Waldkrone Logistik GmbH Anteilserwerb)</w:t>
      </w:r>
    </w:p>
    <w:p>
      <w:pPr>
        <w:jc w:val="left"/>
      </w:pPr>
      <w:r>
        <w:t>Frau Berger teilte mit, dass die Anzeige eingegangen sei und nach vorläufiger Prüfung folgende Punkte ergäben:</w:t>
      </w:r>
    </w:p>
    <w:p>
      <w:pPr>
        <w:pStyle w:val="ListNumber"/>
      </w:pPr>
      <w:r>
        <w:t>§ 1 Abs. 2b GrEStG sei nach Verwaltungsauffassung erfüllt: 100-prozentiger Übergang der Anteile an der grundbesitzhaltenden Waldkrone Logistik GmbH von Nordtor auf SHC Germany HoldCo überschreite die 90-%-Schwelle bei einem unmittelbaren Erwerb (Erwerbsvorgang Closing 30.04.2026).</w:t>
      </w:r>
    </w:p>
    <w:p>
      <w:pPr>
        <w:pStyle w:val="ListNumber"/>
      </w:pPr>
      <w:r>
        <w:t>Zusätzlich sei § 1 Abs. 3 GrEStG für die SHC Germany HoldCo zu prüfen, weil bei dieser Gesellschaft erstmalig 100 % der Anteile in einer Hand vereinigt würden (Anteilsvereinigung).</w:t>
      </w:r>
    </w:p>
    <w:p>
      <w:pPr>
        <w:pStyle w:val="ListNumber"/>
      </w:pPr>
      <w:r>
        <w:t>Signing und Closing seien nach Verwaltungsauffassung getrennt zu betrachten. Das Signing (12.12.2025) habe bereits eine schuldrechtliche Verpflichtung zur Anteilsübertragung begründet, was -- so Frau Berger -- "im Rahmen der laufenden Rechtsprechungsdiskussion" möglicherweise als eigener Tatbestand zu werten sei.</w:t>
      </w:r>
    </w:p>
    <w:p>
      <w:pPr>
        <w:pStyle w:val="ListNumber"/>
      </w:pPr>
      <w:r>
        <w:t>Eine schriftliche Anhörung werde folgen.</w:t>
      </w:r>
    </w:p>
    <w:p>
      <w:pPr>
        <w:jc w:val="left"/>
      </w:pPr>
      <w:r>
        <w:t>Frau Berger bat um Übersendung des vollständigen Closing Memorandum (englisch, mit unterzeichnetem Anhang Abtretungserklärung) und einer beglaubigten Übersetzung der Tax-Klauseln. Außerdem bat sie um Klärung der Frage, ob die Vorab-Umstrukturierung (Verschmelzung Nordtor Logistik Holding auf Waldkrone Logistik im Oktober 2025) bestandskräftig nach § 6a GrEStG freigestellt sei oder noch im Festsetzungsverfahren stehe.</w:t>
      </w:r>
    </w:p>
    <w:p>
      <w:pPr>
        <w:jc w:val="left"/>
      </w:pPr>
      <w:r>
        <w:t>Frau Berger äußerte beiläufig die Einschätzung: "Wir setzen die Steuer gegen die HoldCo fest, aber die zweite Festsetzung in Brandenburg läuft, weil Signing und Closing eindeutig getrennt sind. Ich kenne die BFH-AdV-Beschlüsse, aber das ist ja noch nicht entschieden."</w:t>
      </w:r>
    </w:p>
    <w:p>
      <w:pPr>
        <w:jc w:val="left"/>
      </w:pPr>
      <w:r>
        <w:t>Folgegespräch terminiert für 26.05.2026.</w:t>
      </w:r>
    </w:p>
    <w:p>
      <w:pPr>
        <w:pStyle w:val="Heading2"/>
      </w:pPr>
      <w:r>
        <w:rPr>
          <w:rFonts w:ascii="Times New Roman" w:hAnsi="Times New Roman"/>
        </w:rPr>
        <w:t>Schriftliche Anhörung FA Oranienburg</w:t>
      </w:r>
    </w:p>
    <w:p>
      <w:pPr>
        <w:jc w:val="left"/>
      </w:pPr>
      <w:r>
        <w:rPr>
          <w:b/>
        </w:rPr>
        <w:t>Eingang Anhörungsschreiben:</w:t>
      </w:r>
      <w:r>
        <w:t xml:space="preserve"> 19.05.2026 (Datum 16.05.2026)</w:t>
      </w:r>
    </w:p>
    <w:p>
      <w:pPr>
        <w:jc w:val="left"/>
      </w:pPr>
      <w:r>
        <w:rPr>
          <w:b/>
        </w:rPr>
        <w:t>Aktenzeichen FA:</w:t>
      </w:r>
      <w:r>
        <w:t xml:space="preserve"> 7-2026/GD-2256</w:t>
      </w:r>
    </w:p>
    <w:p>
      <w:pPr>
        <w:jc w:val="left"/>
      </w:pPr>
      <w:r>
        <w:rPr>
          <w:b/>
        </w:rPr>
        <w:t>Frist Stellungnahme:</w:t>
      </w:r>
      <w:r>
        <w:t xml:space="preserve"> vier Wochen, also bis 16.06.2026</w:t>
      </w:r>
    </w:p>
    <w:p>
      <w:pPr>
        <w:jc w:val="left"/>
      </w:pPr>
      <w:r>
        <w:t>Das FA Oranienburg kündigt zwei Bescheide an:</w:t>
      </w:r>
    </w:p>
    <w:p>
      <w:pPr>
        <w:jc w:val="left"/>
      </w:pPr>
      <w:r>
        <w:t>a) Festsetzungsbescheid GrESt nach § 1 Abs. 2b GrEStG, gerichtet an die Waldkrone Logistik GmbH (Steuerschuldnerin nach § 13 Nr. 7 GrEStG), für die Grundstücke in Brandenburg.</w:t>
      </w:r>
    </w:p>
    <w:p>
      <w:pPr>
        <w:jc w:val="left"/>
      </w:pPr>
      <w:r>
        <w:t>b) Festsetzungsbescheid GrESt nach § 1 Abs. 3 GrEStG, gerichtet an die SHC Germany HoldCo GmbH (Steuerschuldnerin nach § 13 Nr. 5 GrEStG), für die Grundstücke in Brandenburg (Logistikzentrum Haveltor).</w:t>
      </w:r>
    </w:p>
    <w:p>
      <w:pPr>
        <w:jc w:val="left"/>
      </w:pPr>
      <w:r>
        <w:t>Die FÄ Frankfurt und Essen haben bislang nicht reagiert; nach Auskunft FA Oranienburg ist die "länderübergreifende Klärung" noch nicht abgeschlossen. Eine zentrale Festsetzung gibt es im GrEStG nicht; jedes Belegenheits-FA setzt eigenständig fest.</w:t>
      </w:r>
    </w:p>
    <w:p>
      <w:pPr>
        <w:pStyle w:val="Heading2"/>
      </w:pPr>
      <w:r>
        <w:rPr>
          <w:rFonts w:ascii="Times New Roman" w:hAnsi="Times New Roman"/>
        </w:rPr>
        <w:t>Arbeitshypothese Kanzlei</w:t>
      </w:r>
    </w:p>
    <w:p>
      <w:pPr>
        <w:jc w:val="left"/>
      </w:pPr>
      <w:r>
        <w:t xml:space="preserve">Eine GrESt-Belastung ist dem Grunde nach wahrscheinlich. Der Angriff richtet sich gegen eine </w:t>
      </w:r>
      <w:r>
        <w:rPr>
          <w:b/>
        </w:rPr>
        <w:t>zusätzliche, doppelte Festsetzung</w:t>
      </w:r>
      <w:r>
        <w:t xml:space="preserve"> für denselben wirtschaftlichen Erwerbsvorgang.</w:t>
      </w:r>
    </w:p>
    <w:p>
      <w:pPr>
        <w:jc w:val="left"/>
      </w:pPr>
      <w:r>
        <w:t>Die Linie ist:</w:t>
      </w:r>
    </w:p>
    <w:p>
      <w:pPr>
        <w:pStyle w:val="ListBullet"/>
      </w:pPr>
      <w:r>
        <w:t>Wir bestreiten nicht, dass der Closing-Erwerb (§ 1 Abs. 2b GrEStG) GrESt auslösen kann.</w:t>
      </w:r>
    </w:p>
    <w:p>
      <w:pPr>
        <w:pStyle w:val="ListBullet"/>
      </w:pPr>
      <w:r>
        <w:t>Wir bestreiten die Zusätzlichkeit einer § 1 Abs. 3-Festsetzung, weil das wirtschaftlich derselbe Erwerb ist.</w:t>
      </w:r>
    </w:p>
    <w:p>
      <w:pPr>
        <w:pStyle w:val="ListBullet"/>
      </w:pPr>
      <w:r>
        <w:t>Wir bestreiten ggf. eine Signing-Festsetzung, weil die Verpflichtungsbegründung vom 12.12.2025 nicht eigenständig steuerbar sein sollte, wenn das Closing den eigentlichen Übergang vollzieht.</w:t>
      </w:r>
    </w:p>
    <w:p>
      <w:pPr>
        <w:pStyle w:val="ListBullet"/>
      </w:pPr>
      <w:r>
        <w:t>Wir prüfen § 16 GrEStG als Korrekturroute, falls eine der Festsetzungen rückgängig zu machen ist.</w:t>
      </w:r>
    </w:p>
    <w:p>
      <w:pPr>
        <w:pStyle w:val="Heading2"/>
      </w:pPr>
      <w:r>
        <w:rPr>
          <w:rFonts w:ascii="Times New Roman" w:hAnsi="Times New Roman"/>
        </w:rPr>
        <w:t>BFH-Linie für AdV</w:t>
      </w:r>
    </w:p>
    <w:p>
      <w:pPr>
        <w:jc w:val="left"/>
      </w:pPr>
      <w:r>
        <w:t xml:space="preserve">Die folgende AdV-Linie wird zur Argumentation herangezogen. Hinweis: Die genannten Aktenzeichen sind Arbeitszitate aus der internen Datenbank Kanzlei -- vor Einlegung des Rechtsbehelfs </w:t>
      </w:r>
      <w:r>
        <w:rPr>
          <w:b/>
        </w:rPr>
        <w:t>müssen die Aktenzeichen und Veröffentlichungsstände amtlich verifiziert werden</w:t>
      </w:r>
      <w:r>
        <w:t>. Bei Unsicherheit nur generische Bezugnahme.</w:t>
      </w:r>
    </w:p>
    <w:p>
      <w:pPr>
        <w:pStyle w:val="ListBullet"/>
      </w:pPr>
      <w:r>
        <w:t>BFH, AdV-Linie zur doppelten Festsetzung bei zeitlich auseinanderfallendem Signing/Closing (II. Senat).</w:t>
      </w:r>
    </w:p>
    <w:p>
      <w:pPr>
        <w:pStyle w:val="ListBullet"/>
      </w:pPr>
      <w:r>
        <w:t>BFH, AdV-Linie zur Frage, dass die Closing-Festsetzung selbst nicht automatisch aussetzbar ist, wenn nur die zusätzliche Signing-Festsetzung zweifelhaft ist.</w:t>
      </w:r>
    </w:p>
    <w:p>
      <w:pPr>
        <w:pStyle w:val="ListBullet"/>
      </w:pPr>
      <w:r>
        <w:t>BFH, AdV-Linie zur erneuten Bestätigung ernstlicher Zweifel bei Doppelfestsetzung.</w:t>
      </w:r>
    </w:p>
    <w:p>
      <w:pPr>
        <w:jc w:val="left"/>
      </w:pPr>
      <w:r>
        <w:t>(Aktenzeichen werden vor Einlegung des Einspruchs in Akteneintrag /verfahren/02-aktenzeichen-verifikation.md festgehalten. Solange ohne Aktenzeichen im Mandantenbrief.)</w:t>
      </w:r>
    </w:p>
    <w:p>
      <w:pPr>
        <w:pStyle w:val="Heading2"/>
      </w:pPr>
      <w:r>
        <w:rPr>
          <w:rFonts w:ascii="Times New Roman" w:hAnsi="Times New Roman"/>
        </w:rPr>
        <w:t>Entwurf AdV-Zielrichtung</w:t>
      </w:r>
    </w:p>
    <w:p>
      <w:pPr>
        <w:pStyle w:val="ListNumber"/>
      </w:pPr>
      <w:r>
        <w:rPr>
          <w:b/>
        </w:rPr>
        <w:t>Fristwahrende Einlegung von Einspruch</w:t>
      </w:r>
      <w:r>
        <w:t xml:space="preserve"> gegen jeden zugehenden Bescheid; Vorfristen 10 Tage vor jeweiliger Einspruchsfrist setzen.</w:t>
      </w:r>
    </w:p>
    <w:p>
      <w:pPr>
        <w:pStyle w:val="ListNumber"/>
      </w:pPr>
      <w:r>
        <w:rPr>
          <w:b/>
        </w:rPr>
        <w:t>AdV gezielt gegen die zusätzliche / doppelte Belastung</w:t>
      </w:r>
      <w:r>
        <w:t xml:space="preserve"> beantragen. Konkret: Wenn beide Bescheide ergehen, AdV gegen den Bescheid, der die zusätzliche Festsetzung darstellt (typischerweise die Anteilsvereinigungs-Festsetzung gegen die HoldCo).</w:t>
      </w:r>
    </w:p>
    <w:p>
      <w:pPr>
        <w:pStyle w:val="ListNumber"/>
      </w:pPr>
      <w:r>
        <w:rPr>
          <w:b/>
        </w:rPr>
        <w:t>Nicht beantragen</w:t>
      </w:r>
      <w:r>
        <w:t>, die gesamte GrESt aus dem Closing auszusetzen, wenn der Streit nur die zusätzliche Festsetzung betrifft (sonst riskiert man Versagung mangels ernstlicher Zweifel an der Hauptsache).</w:t>
      </w:r>
    </w:p>
    <w:p>
      <w:pPr>
        <w:pStyle w:val="ListNumber"/>
      </w:pPr>
      <w:r>
        <w:rPr>
          <w:b/>
        </w:rPr>
        <w:t>Hilfsweise § 16 GrEStG</w:t>
      </w:r>
      <w:r>
        <w:t xml:space="preserve"> und Korrekturroute prüfen, falls die Doppelfestsetzung auch ohne AdV nur durch nachträgliche Aufhebung des einen Bescheids beseitigt werden kann.</w:t>
      </w:r>
    </w:p>
    <w:p>
      <w:pPr>
        <w:pStyle w:val="ListNumber"/>
      </w:pPr>
      <w:r>
        <w:rPr>
          <w:b/>
        </w:rPr>
        <w:t>Liquiditätsplanung:</w:t>
      </w:r>
      <w:r>
        <w:t xml:space="preserve"> Escrow (2,4 Mio. EUR) reicht für einfache Belastung (rechnerisch 2,22 Mio. EUR), nicht für doppelte Belastung (4,44 Mio. EUR plus Zinsen / Säumniszuschläge). Käuferin muss kurzfristig Brückenfinanzierung vorbereiten.</w:t>
      </w:r>
    </w:p>
    <w:p>
      <w:pPr>
        <w:pStyle w:val="ListNumber"/>
      </w:pPr>
      <w:r>
        <w:rPr>
          <w:b/>
        </w:rPr>
        <w:t>Sicherheitsleistung:</w:t>
      </w:r>
      <w:r>
        <w:t xml:space="preserve"> Nach § 361 Abs. 2 S. 4 AO kann das FA Sicherheitsleistung verlangen. SPA-Escrow darf nach Clause 17.6 nicht dafür genutzt werden -- Käuferin muss eigene Bankbürgschaft vorbereiten (Helaba steht laut Vorabauskunft bereit, Konditionen 0,4 % p. a.).</w:t>
      </w:r>
    </w:p>
    <w:p>
      <w:pPr>
        <w:pStyle w:val="Heading2"/>
      </w:pPr>
      <w:r>
        <w:rPr>
          <w:rFonts w:ascii="Times New Roman" w:hAnsi="Times New Roman"/>
        </w:rPr>
        <w:t>Risiken der Verteidigungslinie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Vorgehen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BFH-AdV-Linie wird im Hauptsacheverfahren nicht bestätigt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Hilfsweise § 16 GrEStG / Korrekturroute mitprüfen; nicht "alles oder nichts"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Frist gegen einen der Bescheide versäumt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 wenn nicht überwacht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Vorfrist 10 Tage; Bescheideingang im Post-Closing-Tracker täglich überwachen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Sicherheitsleistung im AdV-Verfahren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Helaba-Bürgschaft Stand-by vorbereiten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Verkäuferin verweigert Mitwirkung an § 16-Antrag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SPA-Cooperation-Klausel reicht nicht; Amendment vorschlagen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Beweisführung "einheitlicher Erwerbsvorgang"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SPA-Auszug + Closing Memorandum + Step Plan vorlegen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Inkonsistenz zwischen FÄ Brandenburg / Hessen / NRW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rechtzeitig zentrale Argumentation, ggf. Antrag auf einheitliche Festsetzung -- soweit nach Verfahrensrecht möglich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Mandanten-Bulletpoints</w:t>
      </w:r>
    </w:p>
    <w:p>
      <w:pPr>
        <w:pStyle w:val="ListBullet"/>
      </w:pPr>
      <w:r>
        <w:t>Wir halten eine einfache GrESt-Belastung in Höhe von ca. 2,2 Mio. EUR auf den Closing-Erwerb für wahrscheinlich; das war bereits in der Locked-Box-Bewertung eingepreist.</w:t>
      </w:r>
    </w:p>
    <w:p>
      <w:pPr>
        <w:pStyle w:val="ListBullet"/>
      </w:pPr>
      <w:r>
        <w:t>Die zusätzliche Belastung wegen Signing und Closing ist nach aktueller BFH-AdV-Rechtsprechung angreifbar.</w:t>
      </w:r>
    </w:p>
    <w:p>
      <w:pPr>
        <w:pStyle w:val="ListBullet"/>
      </w:pPr>
      <w:r>
        <w:t>Entscheidend ist, welcher Bescheid kommt, an wen er gerichtet ist und worauf er gestützt wird.</w:t>
      </w:r>
    </w:p>
    <w:p>
      <w:pPr>
        <w:pStyle w:val="ListBullet"/>
      </w:pPr>
      <w:r>
        <w:t xml:space="preserve">Wir müssen Einspruch und AdV sehr </w:t>
      </w:r>
      <w:r>
        <w:rPr>
          <w:b/>
        </w:rPr>
        <w:t>präzise</w:t>
      </w:r>
      <w:r>
        <w:t xml:space="preserve"> gegen die doppelte Festsetzung richten; ein pauschaler Angriff "auf alles" würde die Erfolgsaussichten verschlechtern.</w:t>
      </w:r>
    </w:p>
    <w:p>
      <w:pPr>
        <w:pStyle w:val="ListBullet"/>
      </w:pPr>
      <w:r>
        <w:t xml:space="preserve">Der SPA-Escrow sollte bis zur Klärung </w:t>
      </w:r>
      <w:r>
        <w:rPr>
          <w:b/>
        </w:rPr>
        <w:t>nicht freigegeben</w:t>
      </w:r>
      <w:r>
        <w:t xml:space="preserve"> werden; eine Bankbürgschaft für eine eventuelle Sicherheitsleistung muss vorbereitet sein.</w:t>
      </w:r>
    </w:p>
    <w:p>
      <w:pPr>
        <w:pStyle w:val="Heading2"/>
      </w:pPr>
      <w:r>
        <w:rPr>
          <w:rFonts w:ascii="Times New Roman" w:hAnsi="Times New Roman"/>
        </w:rPr>
        <w:t>Mandanten-Bulletpoints (englische Fassung für Killeen / Brennan)</w:t>
      </w:r>
    </w:p>
    <w:p>
      <w:pPr>
        <w:pStyle w:val="ListBullet"/>
      </w:pPr>
      <w:r>
        <w:t>Single RETT charge of approx. EUR 2.2 m on the Closing acquisition is most likely; this was priced into the Locked Box.</w:t>
      </w:r>
    </w:p>
    <w:p>
      <w:pPr>
        <w:pStyle w:val="ListBullet"/>
      </w:pPr>
      <w:r>
        <w:t>An additional charge based on the Signing / Closing timing gap is open to challenge under recent BFH stay-of-execution case law.</w:t>
      </w:r>
    </w:p>
    <w:p>
      <w:pPr>
        <w:pStyle w:val="ListBullet"/>
      </w:pPr>
      <w:r>
        <w:t>The crucial question is which assessment notice arrives, who is the addressee and on which legal basis.</w:t>
      </w:r>
    </w:p>
    <w:p>
      <w:pPr>
        <w:pStyle w:val="ListBullet"/>
      </w:pPr>
      <w:r>
        <w:t>Objection and stay-of-execution applications must be aimed precisely at the additional assessment, not at the entire RETT amount.</w:t>
      </w:r>
    </w:p>
    <w:p>
      <w:pPr>
        <w:pStyle w:val="ListBullet"/>
      </w:pPr>
      <w:r>
        <w:t>The SPA Tax Escrow should remain blocked; a bank guarantee for any required security deposit should be put on stand-by.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Finanzamtskorrespondenz und AdV-Notiz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Finanzamtskorrespondenz und AdV-Notiz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 · Aktenzeichen FA: 7-2026/GD-2256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