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Tax Indemnity Letter -- Amendment Nr. 1 zum SPA</w:t>
      </w:r>
    </w:p>
    <w:p>
      <w:pPr>
        <w:jc w:val="left"/>
      </w:pPr>
      <w:r>
        <w:rPr>
          <w:b/>
        </w:rPr>
        <w:t>Empfänger:</w:t>
      </w:r>
      <w:r>
        <w:t xml:space="preserve"> Nordtor Beteiligungen GmbH, vertreten durch Schramm Wenders Reichardt LLP, Hamburg</w:t>
      </w:r>
    </w:p>
    <w:p>
      <w:pPr>
        <w:jc w:val="left"/>
      </w:pPr>
      <w:r>
        <w:rPr>
          <w:b/>
        </w:rPr>
        <w:t>Absender:</w:t>
      </w:r>
      <w:r>
        <w:t xml:space="preserve"> SHC Germany HoldCo GmbH, vertreten durch Alvensleben Kayser Becker Rechtsanwälte PartG mbB</w:t>
      </w:r>
    </w:p>
    <w:p>
      <w:pPr>
        <w:jc w:val="left"/>
      </w:pPr>
      <w:r>
        <w:rPr>
          <w:b/>
        </w:rPr>
        <w:t>Datum Entwurf:</w:t>
      </w:r>
      <w:r>
        <w:t xml:space="preserve"> 24.05.2026 (Versand 27.05.2026 nach interner Freigabe)</w:t>
      </w:r>
    </w:p>
    <w:p>
      <w:pPr>
        <w:jc w:val="left"/>
      </w:pPr>
      <w:r>
        <w:rPr>
          <w:b/>
        </w:rPr>
        <w:t>Bezug:</w:t>
      </w:r>
      <w:r>
        <w:t xml:space="preserve"> SPA Waldkrone vom 12.12.2025, UR-Nr. 1287/2025 Notar Dr. Wagensteiner; geplantes Amendment Nr. 1</w:t>
      </w:r>
    </w:p>
    <w:p>
      <w:pPr>
        <w:pStyle w:val="Heading2"/>
      </w:pPr>
      <w:r>
        <w:rPr>
          <w:rFonts w:ascii="Times New Roman" w:hAnsi="Times New Roman"/>
        </w:rPr>
        <w:t>Anschreiben (deutsch)</w:t>
      </w:r>
    </w:p>
    <w:p>
      <w:pPr>
        <w:jc w:val="left"/>
      </w:pPr>
      <w:r>
        <w:t>Sehr geehrte Damen und Herren,</w:t>
      </w:r>
    </w:p>
    <w:p>
      <w:pPr>
        <w:jc w:val="left"/>
      </w:pPr>
      <w:r>
        <w:t>zur Klarstellung und Ergänzung des SPA vom 12.12.2025 schlagen wir das im Anhang beigefügte Amendment Nr. 1 vor. Hintergrund ist die mit Schreiben des Finanzamts Oranienburg vom 16.05.2026 angekündigte Doppelfestsetzung der Grunderwerbsteuer wegen des Auseinanderfallens von Signing und Closing. Die vorgeschlagenen Änderungen sind ausschließlich verfahrensbezogen; sie verändern weder den Kaufpreis noch die wirtschaftliche Lastenverteilung.</w:t>
      </w:r>
    </w:p>
    <w:p>
      <w:pPr>
        <w:jc w:val="left"/>
      </w:pPr>
      <w:r>
        <w:t>Wir bitten um Rückmeldung bis 14.06.2026.</w:t>
      </w:r>
    </w:p>
    <w:p>
      <w:pPr>
        <w:jc w:val="left"/>
      </w:pPr>
      <w:r>
        <w:t>Mit freundlichen Grüßen</w:t>
      </w:r>
    </w:p>
    <w:p>
      <w:pPr>
        <w:jc w:val="left"/>
      </w:pPr>
      <w:r>
        <w:t>Alvensleben Kayser Becker Rechtsanwälte PartG mbB</w:t>
      </w:r>
    </w:p>
    <w:p>
      <w:pPr>
        <w:jc w:val="left"/>
      </w:pPr>
      <w:r>
        <w:t>Dr. Henriette Alvensleben</w:t>
      </w:r>
    </w:p>
    <w:p>
      <w:pPr>
        <w:pStyle w:val="Heading2"/>
      </w:pPr>
      <w:r>
        <w:rPr>
          <w:rFonts w:ascii="Times New Roman" w:hAnsi="Times New Roman"/>
        </w:rPr>
        <w:t>Cover Letter (English -- für Mandantenintern)</w:t>
      </w:r>
    </w:p>
    <w:p>
      <w:pPr>
        <w:jc w:val="left"/>
      </w:pPr>
      <w:r>
        <w:t>Dear Sirs,</w:t>
      </w:r>
    </w:p>
    <w:p>
      <w:pPr>
        <w:jc w:val="left"/>
      </w:pPr>
      <w:r>
        <w:t>we propose Amendment No. 1 to the SPA dated 12 December 2025 as set out in the attached. The background is the announcement of a double real estate transfer tax assessment by the FA Oranienburg, dated 16 May 2026, as a consequence of the time gap between Signing and Closing. The proposed changes are exclusively procedural; they do not affect the purchase price or the underlying economic risk allocation.</w:t>
      </w:r>
    </w:p>
    <w:p>
      <w:pPr>
        <w:jc w:val="left"/>
      </w:pPr>
      <w:r>
        <w:t>Kindly respond by 14 June 2026.</w:t>
      </w:r>
    </w:p>
    <w:p>
      <w:pPr>
        <w:jc w:val="left"/>
      </w:pPr>
      <w:r>
        <w:t>Yours faithfully,</w:t>
      </w:r>
    </w:p>
    <w:p>
      <w:pPr>
        <w:jc w:val="left"/>
      </w:pPr>
      <w:r>
        <w:t>Alvensleben Kayser Becker Lawyers</w:t>
      </w:r>
    </w:p>
    <w:p>
      <w:pPr>
        <w:jc w:val="left"/>
      </w:pPr>
      <w:r>
        <w:t>Dr. Henriette Alvensleben (M&amp;A)</w:t>
      </w:r>
    </w:p>
    <w:p>
      <w:pPr>
        <w:jc w:val="left"/>
      </w:pPr>
      <w:r>
        <w:t>Dr. Bertram Holzschuh (Tax)</w:t>
      </w:r>
    </w:p>
    <w:p>
      <w:pPr>
        <w:pStyle w:val="Heading2"/>
      </w:pPr>
      <w:r>
        <w:rPr>
          <w:rFonts w:ascii="Times New Roman" w:hAnsi="Times New Roman"/>
        </w:rPr>
        <w:t>Amendment No. 1 (vollständiger Wortlaut)</w:t>
      </w:r>
    </w:p>
    <w:p>
      <w:pPr>
        <w:pStyle w:val="Heading3"/>
      </w:pPr>
      <w:r>
        <w:rPr>
          <w:rFonts w:ascii="Times New Roman" w:hAnsi="Times New Roman"/>
        </w:rPr>
        <w:t>Präambel</w:t>
      </w:r>
    </w:p>
    <w:p>
      <w:pPr>
        <w:jc w:val="left"/>
      </w:pPr>
      <w:r>
        <w:t>Die SHC Germany HoldCo GmbH (im folgenden "Käuferin"), HRB 124889 AG Frankfurt, und die Nordtor Beteiligungen GmbH (im folgenden "Verkäuferin"), HRB 187452 AG Hamburg, haben am 12.12.2025 vor Notar Dr. Friedjoff Wagensteiner (UR-Nr. 1287/2025) ein Share Purchase Agreement über die Geschäftsanteile an der Waldkrone Logistik GmbH (im folgenden "Zielgesellschaft") geschlossen. Mit diesem Amendment Nr. 1 vereinbaren die Parteien folgende Ergänzungen und Klarstellungen.</w:t>
      </w:r>
    </w:p>
    <w:p>
      <w:pPr>
        <w:pStyle w:val="Heading3"/>
      </w:pPr>
      <w:r>
        <w:rPr>
          <w:rFonts w:ascii="Times New Roman" w:hAnsi="Times New Roman"/>
        </w:rPr>
        <w:t>§ 1 Ergänzung Clause 17.3 (Transfer Taxes)</w:t>
      </w:r>
    </w:p>
    <w:p>
      <w:pPr>
        <w:jc w:val="left"/>
      </w:pPr>
      <w:r>
        <w:t>Nach Clause 17.3 wird folgender Absatz (a) eingefügt:</w:t>
      </w:r>
    </w:p>
    <w:p>
      <w:pPr>
        <w:ind w:left="567"/>
      </w:pPr>
      <w:r>
        <w:rPr>
          <w:b/>
          <w:i/>
        </w:rPr>
        <w:t>17.3 (a)</w:t>
      </w:r>
      <w:r>
        <w:rPr>
          <w:i/>
        </w:rPr>
        <w:t xml:space="preserve"> Die Parteien sind sich einig, dass sämtliche Grunderwerbsteuer (einschließlich Säumniszuschlägen, Zinsen, Nebenleistungen sowie Verfahrenskosten der Finanzbehörden), die aus dem Erwerbsvorgang des Anteilskaufs vom 12.12.2025 und dem Closing am 30.04.2026 -- einschließlich einer etwaigen mehrfachen oder zusätzlichen Festsetzung wegen des zeitlichen Auseinanderfallens von Signing und Closing -- resultieren, bis zur bestandskräftigen Klärung vollumfänglich aus dem Escrow (Clause 17.6) bestritten werden dürfen.</w:t>
      </w:r>
    </w:p>
    <w:p>
      <w:pPr>
        <w:pStyle w:val="Heading3"/>
      </w:pPr>
      <w:r>
        <w:rPr>
          <w:rFonts w:ascii="Times New Roman" w:hAnsi="Times New Roman"/>
        </w:rPr>
        <w:t>§ 2 Ergänzung Clause 17.5 (Cooperation)</w:t>
      </w:r>
    </w:p>
    <w:p>
      <w:pPr>
        <w:jc w:val="left"/>
      </w:pPr>
      <w:r>
        <w:t>Nach Clause 17.5 (d) wird folgender Absatz (e) eingefügt:</w:t>
      </w:r>
    </w:p>
    <w:p>
      <w:pPr>
        <w:ind w:left="567"/>
      </w:pPr>
      <w:r>
        <w:rPr>
          <w:b/>
          <w:i/>
        </w:rPr>
        <w:t>17.5 (e)</w:t>
      </w:r>
      <w:r>
        <w:rPr>
          <w:i/>
        </w:rPr>
        <w:t xml:space="preserve"> Die Parteien wirken an Einspruchs-, Aussetzungs-, Änderungs- und § 16-GrEStG-Verfahren mit. Keine Partei darf ohne vorherige Zustimmung der anderen Partei eine Erklärung gegenüber der Finanzbehörde abgeben, die die Verteidigung gegen eine doppelte Festsetzung beeinträchtigt. Die Verkäuferin verpflichtet sich insbesondere, Anträge nach § 16 GrEStG der Käuferin bzw. der Zielgesellschaft auf erste Anforderung schriftlich zu unterstützen.</w:t>
      </w:r>
    </w:p>
    <w:p>
      <w:pPr>
        <w:pStyle w:val="Heading3"/>
      </w:pPr>
      <w:r>
        <w:rPr>
          <w:rFonts w:ascii="Times New Roman" w:hAnsi="Times New Roman"/>
        </w:rPr>
        <w:t>§ 3 Ergänzung Clause 17.6 (Escrow)</w:t>
      </w:r>
    </w:p>
    <w:p>
      <w:pPr>
        <w:jc w:val="left"/>
      </w:pPr>
      <w:r>
        <w:t>In Clause 17.6 wird nach dem dritten Satz folgender vierter Satz eingefügt:</w:t>
      </w:r>
    </w:p>
    <w:p>
      <w:pPr>
        <w:ind w:left="567"/>
      </w:pPr>
      <w:r>
        <w:rPr>
          <w:i/>
        </w:rPr>
        <w:t>Abweichend von Satz 3 darf der Escrow auch zur Stellung einer Sicherheitsleistung im Sinne von § 361 Abs. 2 Satz 4 AO im Aussetzungsverfahren verwendet werden, sofern und soweit die Käuferin oder die Zielgesellschaft Aussetzung der Vollziehung beantragt hat. Im Falle einer Inanspruchnahme der Sicherheitsleistung tritt die Käuferin in die Position des Sicherheitsstellers ein.</w:t>
      </w:r>
    </w:p>
    <w:p>
      <w:pPr>
        <w:pStyle w:val="Heading3"/>
      </w:pPr>
      <w:r>
        <w:rPr>
          <w:rFonts w:ascii="Times New Roman" w:hAnsi="Times New Roman"/>
        </w:rPr>
        <w:t>§ 4 Ergänzung Schedule 5 (Pre-Signing Periods)</w:t>
      </w:r>
    </w:p>
    <w:p>
      <w:pPr>
        <w:jc w:val="left"/>
      </w:pPr>
      <w:r>
        <w:t>Schedule 5 wird um folgenden Hinweis ergänzt:</w:t>
      </w:r>
    </w:p>
    <w:p>
      <w:pPr>
        <w:ind w:left="567"/>
      </w:pPr>
      <w:r>
        <w:rPr>
          <w:i/>
        </w:rPr>
        <w:t>Im Hinblick auf die Vorab-Umstrukturierung vom 22.09.2025 (Übertragung Logistikzentrum Haveltor auf Waldkrone Property Brandenburg GmbH) und vom 12.10.2025 (Verschmelzung Nordtor Logistik Holding auf Waldkrone Logistik GmbH) verbleibt das Risiko einer Versagung der § 6a-Begünstigung GrESt bei der Verkäuferin. Die Verkäuferin verpflichtet sich, die Käuferin auf erste Anforderung von allen sich daraus ergebenden Steuerbelastungen freizustellen.</w:t>
      </w:r>
    </w:p>
    <w:p>
      <w:pPr>
        <w:pStyle w:val="Heading3"/>
      </w:pPr>
      <w:r>
        <w:rPr>
          <w:rFonts w:ascii="Times New Roman" w:hAnsi="Times New Roman"/>
        </w:rPr>
        <w:t>§ 5 Klarstellung Time Limits</w:t>
      </w:r>
    </w:p>
    <w:p>
      <w:pPr>
        <w:jc w:val="left"/>
      </w:pPr>
      <w:r>
        <w:t>Clause 17.8 (Time Limits) bleibt unverändert. Klarstellend wird festgehalten, dass die siebenjährige Frist auch für Ansprüche aus Doppelfestsetzungen gilt; die Parteien sind sich einig, dass die Frist gehemmt ist, solange ein Aussetzungs- oder Hauptsacheverfahren gegen die Festsetzung anhängig ist.</w:t>
      </w:r>
    </w:p>
    <w:p>
      <w:pPr>
        <w:pStyle w:val="Heading3"/>
      </w:pPr>
      <w:r>
        <w:rPr>
          <w:rFonts w:ascii="Times New Roman" w:hAnsi="Times New Roman"/>
        </w:rPr>
        <w:t>§ 6 Schlussbestimmungen</w:t>
      </w:r>
    </w:p>
    <w:p>
      <w:pPr>
        <w:jc w:val="left"/>
      </w:pPr>
      <w:r>
        <w:t>(1) Im Übrigen bleibt das SPA unverändert.</w:t>
      </w:r>
    </w:p>
    <w:p>
      <w:pPr>
        <w:jc w:val="left"/>
      </w:pPr>
      <w:r>
        <w:t>(2) Dieses Amendment Nr. 1 bedarf der notariellen Beurkundung, sofern eine Beurkundungsbedürftigkeit besteht. Die Parteien gehen davon aus, dass die hier vereinbarten Ergänzungen die Übertragungsverpflichtung und die Mitwirkungspflichten betreffen und daher dem Formerfordernis des § 311b Abs. 3 BGB unterliegen; bei abweichender Rechtsauffassung wird die Beurkundung sicherheitshalber durchgeführt.</w:t>
      </w:r>
    </w:p>
    <w:p>
      <w:pPr>
        <w:jc w:val="left"/>
      </w:pPr>
      <w:r>
        <w:t>(3) Sollte eine Bestimmung dieses Amendments unwirksam sein, bleibt der Rest wirksam (salvatorische Klausel; § 13 Abs. 3 SPA gilt entsprechend).</w:t>
      </w:r>
    </w:p>
    <w:p>
      <w:pPr>
        <w:jc w:val="left"/>
      </w:pPr>
      <w:r>
        <w:t>(4) Vertragssprache ist Deutsch; die englische Übersetzung ist nicht maßgeblich.</w:t>
      </w:r>
    </w:p>
    <w:p>
      <w:pPr>
        <w:jc w:val="left"/>
      </w:pPr>
      <w:r>
        <w:t>(5) Gerichtsstand: Frankfurt am Main (§ 13 Abs. 5 SPA).</w:t>
      </w:r>
    </w:p>
    <w:p>
      <w:pPr>
        <w:pStyle w:val="Heading2"/>
      </w:pPr>
      <w:r>
        <w:rPr>
          <w:rFonts w:ascii="Times New Roman" w:hAnsi="Times New Roman"/>
        </w:rPr>
        <w:t>Verhandlungsspielraum (intern, NICHT an Verkäuferin)</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Punkt</w:t>
            </w:r>
          </w:p>
        </w:tc>
        <w:tc>
          <w:tcPr>
            <w:tcW w:type="dxa" w:w="2268"/>
          </w:tcPr>
          <w:p>
            <w:r>
              <w:rPr>
                <w:rFonts w:ascii="Times New Roman" w:hAnsi="Times New Roman"/>
                <w:b/>
                <w:sz w:val="20"/>
              </w:rPr>
              <w:t>Position Käuferin</w:t>
            </w:r>
          </w:p>
        </w:tc>
        <w:tc>
          <w:tcPr>
            <w:tcW w:type="dxa" w:w="2268"/>
          </w:tcPr>
          <w:p>
            <w:r>
              <w:rPr>
                <w:rFonts w:ascii="Times New Roman" w:hAnsi="Times New Roman"/>
                <w:b/>
                <w:sz w:val="20"/>
              </w:rPr>
              <w:t>erwartete Position Verkäuferin</w:t>
            </w:r>
          </w:p>
        </w:tc>
        <w:tc>
          <w:tcPr>
            <w:tcW w:type="dxa" w:w="2268"/>
          </w:tcPr>
          <w:p>
            <w:r>
              <w:rPr>
                <w:rFonts w:ascii="Times New Roman" w:hAnsi="Times New Roman"/>
                <w:b/>
                <w:sz w:val="20"/>
              </w:rPr>
              <w:t>Spielraum</w:t>
            </w:r>
          </w:p>
        </w:tc>
      </w:tr>
      <w:tr>
        <w:tc>
          <w:tcPr>
            <w:tcW w:type="dxa" w:w="2268"/>
          </w:tcPr>
          <w:p>
            <w:r>
              <w:rPr>
                <w:rFonts w:ascii="Times New Roman" w:hAnsi="Times New Roman"/>
                <w:sz w:val="20"/>
              </w:rPr>
              <w:t>§ 1 (Clause 17.3 a)</w:t>
            </w:r>
          </w:p>
        </w:tc>
        <w:tc>
          <w:tcPr>
            <w:tcW w:type="dxa" w:w="2268"/>
          </w:tcPr>
          <w:p>
            <w:r>
              <w:rPr>
                <w:rFonts w:ascii="Times New Roman" w:hAnsi="Times New Roman"/>
                <w:sz w:val="20"/>
              </w:rPr>
              <w:t>klare Erfassung doppelter Festsetzung</w:t>
            </w:r>
          </w:p>
        </w:tc>
        <w:tc>
          <w:tcPr>
            <w:tcW w:type="dxa" w:w="2268"/>
          </w:tcPr>
          <w:p>
            <w:r>
              <w:rPr>
                <w:rFonts w:ascii="Times New Roman" w:hAnsi="Times New Roman"/>
                <w:sz w:val="20"/>
              </w:rPr>
              <w:t>"Verfahrensrisiko Käufer" -- Verkäuferin könnte argumentieren, dass das schon in 17.4 abgedeckt sei</w:t>
            </w:r>
          </w:p>
        </w:tc>
        <w:tc>
          <w:tcPr>
            <w:tcW w:type="dxa" w:w="2268"/>
          </w:tcPr>
          <w:p>
            <w:r>
              <w:rPr>
                <w:rFonts w:ascii="Times New Roman" w:hAnsi="Times New Roman"/>
                <w:sz w:val="20"/>
              </w:rPr>
              <w:t>ggf. abweichende Formulierung "klarstellend"</w:t>
            </w:r>
          </w:p>
        </w:tc>
      </w:tr>
      <w:tr>
        <w:tc>
          <w:tcPr>
            <w:tcW w:type="dxa" w:w="2268"/>
          </w:tcPr>
          <w:p>
            <w:r>
              <w:rPr>
                <w:rFonts w:ascii="Times New Roman" w:hAnsi="Times New Roman"/>
                <w:sz w:val="20"/>
              </w:rPr>
              <w:t>§ 2 (Clause 17.5 e)</w:t>
            </w:r>
          </w:p>
        </w:tc>
        <w:tc>
          <w:tcPr>
            <w:tcW w:type="dxa" w:w="2268"/>
          </w:tcPr>
          <w:p>
            <w:r>
              <w:rPr>
                <w:rFonts w:ascii="Times New Roman" w:hAnsi="Times New Roman"/>
                <w:sz w:val="20"/>
              </w:rPr>
              <w:t>aktive Mitwirkungspflicht</w:t>
            </w:r>
          </w:p>
        </w:tc>
        <w:tc>
          <w:tcPr>
            <w:tcW w:type="dxa" w:w="2268"/>
          </w:tcPr>
          <w:p>
            <w:r>
              <w:rPr>
                <w:rFonts w:ascii="Times New Roman" w:hAnsi="Times New Roman"/>
                <w:sz w:val="20"/>
              </w:rPr>
              <w:t>wird grundsätzlich akzeptiert</w:t>
            </w:r>
          </w:p>
        </w:tc>
        <w:tc>
          <w:tcPr>
            <w:tcW w:type="dxa" w:w="2268"/>
          </w:tcPr>
          <w:p>
            <w:r>
              <w:rPr>
                <w:rFonts w:ascii="Times New Roman" w:hAnsi="Times New Roman"/>
                <w:sz w:val="20"/>
              </w:rPr>
              <w:t>gering</w:t>
            </w:r>
          </w:p>
        </w:tc>
      </w:tr>
      <w:tr>
        <w:tc>
          <w:tcPr>
            <w:tcW w:type="dxa" w:w="2268"/>
          </w:tcPr>
          <w:p>
            <w:r>
              <w:rPr>
                <w:rFonts w:ascii="Times New Roman" w:hAnsi="Times New Roman"/>
                <w:sz w:val="20"/>
              </w:rPr>
              <w:t>§ 3 (Clause 17.6)</w:t>
            </w:r>
          </w:p>
        </w:tc>
        <w:tc>
          <w:tcPr>
            <w:tcW w:type="dxa" w:w="2268"/>
          </w:tcPr>
          <w:p>
            <w:r>
              <w:rPr>
                <w:rFonts w:ascii="Times New Roman" w:hAnsi="Times New Roman"/>
                <w:sz w:val="20"/>
              </w:rPr>
              <w:t>Escrow für Sicherheitsleistung</w:t>
            </w:r>
          </w:p>
        </w:tc>
        <w:tc>
          <w:tcPr>
            <w:tcW w:type="dxa" w:w="2268"/>
          </w:tcPr>
          <w:p>
            <w:r>
              <w:rPr>
                <w:rFonts w:ascii="Times New Roman" w:hAnsi="Times New Roman"/>
                <w:sz w:val="20"/>
              </w:rPr>
              <w:t>Verkäuferin könnte argumentieren, dass das die Escrow-Logik einseitig zugunsten Käufer verändert</w:t>
            </w:r>
          </w:p>
        </w:tc>
        <w:tc>
          <w:tcPr>
            <w:tcW w:type="dxa" w:w="2268"/>
          </w:tcPr>
          <w:p>
            <w:r>
              <w:rPr>
                <w:rFonts w:ascii="Times New Roman" w:hAnsi="Times New Roman"/>
                <w:sz w:val="20"/>
              </w:rPr>
              <w:t>Alternativvorschlag: Escrow-Erhöhung um 1 Mio. EUR durch Verkäuferin, statt Nutzung für Sicherheitsleistung</w:t>
            </w:r>
          </w:p>
        </w:tc>
      </w:tr>
      <w:tr>
        <w:tc>
          <w:tcPr>
            <w:tcW w:type="dxa" w:w="2268"/>
          </w:tcPr>
          <w:p>
            <w:r>
              <w:rPr>
                <w:rFonts w:ascii="Times New Roman" w:hAnsi="Times New Roman"/>
                <w:sz w:val="20"/>
              </w:rPr>
              <w:t>§ 4 (Schedule 5)</w:t>
            </w:r>
          </w:p>
        </w:tc>
        <w:tc>
          <w:tcPr>
            <w:tcW w:type="dxa" w:w="2268"/>
          </w:tcPr>
          <w:p>
            <w:r>
              <w:rPr>
                <w:rFonts w:ascii="Times New Roman" w:hAnsi="Times New Roman"/>
                <w:sz w:val="20"/>
              </w:rPr>
              <w:t>klare Lastentragung Vorab-Umstrukturierung bei Verkäuferin</w:t>
            </w:r>
          </w:p>
        </w:tc>
        <w:tc>
          <w:tcPr>
            <w:tcW w:type="dxa" w:w="2268"/>
          </w:tcPr>
          <w:p>
            <w:r>
              <w:rPr>
                <w:rFonts w:ascii="Times New Roman" w:hAnsi="Times New Roman"/>
                <w:sz w:val="20"/>
              </w:rPr>
              <w:t>Verkäuferin könnte versuchen, Höchstbetrag (500.000 EUR) einzuziehen</w:t>
            </w:r>
          </w:p>
        </w:tc>
        <w:tc>
          <w:tcPr>
            <w:tcW w:type="dxa" w:w="2268"/>
          </w:tcPr>
          <w:p>
            <w:r>
              <w:rPr>
                <w:rFonts w:ascii="Times New Roman" w:hAnsi="Times New Roman"/>
                <w:sz w:val="20"/>
              </w:rPr>
              <w:t>Verhandlung mit Höchstbetrag möglich, aber nicht unter 500.000 EUR</w:t>
            </w:r>
          </w:p>
        </w:tc>
      </w:tr>
      <w:tr>
        <w:tc>
          <w:tcPr>
            <w:tcW w:type="dxa" w:w="2268"/>
          </w:tcPr>
          <w:p>
            <w:r>
              <w:rPr>
                <w:rFonts w:ascii="Times New Roman" w:hAnsi="Times New Roman"/>
                <w:sz w:val="20"/>
              </w:rPr>
              <w:t>§ 5 (Time Limits)</w:t>
            </w:r>
          </w:p>
        </w:tc>
        <w:tc>
          <w:tcPr>
            <w:tcW w:type="dxa" w:w="2268"/>
          </w:tcPr>
          <w:p>
            <w:r>
              <w:rPr>
                <w:rFonts w:ascii="Times New Roman" w:hAnsi="Times New Roman"/>
                <w:sz w:val="20"/>
              </w:rPr>
              <w:t>Hemmung der 7-Jahres-Frist während Verfahren</w:t>
            </w:r>
          </w:p>
        </w:tc>
        <w:tc>
          <w:tcPr>
            <w:tcW w:type="dxa" w:w="2268"/>
          </w:tcPr>
          <w:p>
            <w:r>
              <w:rPr>
                <w:rFonts w:ascii="Times New Roman" w:hAnsi="Times New Roman"/>
                <w:sz w:val="20"/>
              </w:rPr>
              <w:t>wahrscheinlich akzeptabel</w:t>
            </w:r>
          </w:p>
        </w:tc>
        <w:tc>
          <w:tcPr>
            <w:tcW w:type="dxa" w:w="2268"/>
          </w:tcPr>
          <w:p>
            <w:r>
              <w:rPr>
                <w:rFonts w:ascii="Times New Roman" w:hAnsi="Times New Roman"/>
                <w:sz w:val="20"/>
              </w:rPr>
              <w:t>gering</w:t>
            </w:r>
          </w:p>
        </w:tc>
      </w:tr>
      <w:tr>
        <w:tc>
          <w:tcPr>
            <w:tcW w:type="dxa" w:w="2268"/>
          </w:tcPr>
          <w:p>
            <w:r>
              <w:rPr>
                <w:rFonts w:ascii="Times New Roman" w:hAnsi="Times New Roman"/>
                <w:sz w:val="20"/>
              </w:rPr>
              <w:t>§ 6 (Form)</w:t>
            </w:r>
          </w:p>
        </w:tc>
        <w:tc>
          <w:tcPr>
            <w:tcW w:type="dxa" w:w="2268"/>
          </w:tcPr>
          <w:p>
            <w:r>
              <w:rPr>
                <w:rFonts w:ascii="Times New Roman" w:hAnsi="Times New Roman"/>
                <w:sz w:val="20"/>
              </w:rPr>
              <w:t>notarielle Beurkundung</w:t>
            </w:r>
          </w:p>
        </w:tc>
        <w:tc>
          <w:tcPr>
            <w:tcW w:type="dxa" w:w="2268"/>
          </w:tcPr>
          <w:p>
            <w:r>
              <w:rPr>
                <w:rFonts w:ascii="Times New Roman" w:hAnsi="Times New Roman"/>
                <w:sz w:val="20"/>
              </w:rPr>
              <w:t>Verkäuferin will Kosten teilen</w:t>
            </w:r>
          </w:p>
        </w:tc>
        <w:tc>
          <w:tcPr>
            <w:tcW w:type="dxa" w:w="2268"/>
          </w:tcPr>
          <w:p>
            <w:r>
              <w:rPr>
                <w:rFonts w:ascii="Times New Roman" w:hAnsi="Times New Roman"/>
                <w:sz w:val="20"/>
              </w:rPr>
              <w:t>50/50 üblich, hier akzeptabel</w:t>
            </w:r>
          </w:p>
        </w:tc>
      </w:tr>
    </w:tbl>
    <w:p>
      <w:pPr>
        <w:pStyle w:val="Heading2"/>
      </w:pPr>
      <w:r>
        <w:rPr>
          <w:rFonts w:ascii="Times New Roman" w:hAnsi="Times New Roman"/>
        </w:rPr>
        <w:t>Geplantes weiteres Vorgehen</w:t>
      </w:r>
    </w:p>
    <w:p>
      <w:pPr>
        <w:pStyle w:val="ListNumber"/>
      </w:pPr>
      <w:r>
        <w:rPr>
          <w:b/>
        </w:rPr>
        <w:t>27.05.2026:</w:t>
      </w:r>
      <w:r>
        <w:t xml:space="preserve"> Versand des Entwurfs mit Cover Letter.</w:t>
      </w:r>
    </w:p>
    <w:p>
      <w:pPr>
        <w:pStyle w:val="ListNumber"/>
      </w:pPr>
      <w:r>
        <w:rPr>
          <w:b/>
        </w:rPr>
        <w:t>31.05.2026:</w:t>
      </w:r>
      <w:r>
        <w:t xml:space="preserve"> Erinnerung an Schramm Wenders.</w:t>
      </w:r>
    </w:p>
    <w:p>
      <w:pPr>
        <w:pStyle w:val="ListNumber"/>
      </w:pPr>
      <w:r>
        <w:rPr>
          <w:b/>
        </w:rPr>
        <w:t>06.06.2026:</w:t>
      </w:r>
      <w:r>
        <w:t xml:space="preserve"> Telko Holzschuh / Schramm-Reichardt (Gegenseite).</w:t>
      </w:r>
    </w:p>
    <w:p>
      <w:pPr>
        <w:pStyle w:val="ListNumber"/>
      </w:pPr>
      <w:r>
        <w:rPr>
          <w:b/>
        </w:rPr>
        <w:t>14.06.2026:</w:t>
      </w:r>
      <w:r>
        <w:t xml:space="preserve"> Spätester Eingang der Verkäuferin-Rückmeldung.</w:t>
      </w:r>
    </w:p>
    <w:p>
      <w:pPr>
        <w:pStyle w:val="ListNumber"/>
      </w:pPr>
      <w:r>
        <w:rPr>
          <w:b/>
        </w:rPr>
        <w:t>21.06.2026:</w:t>
      </w:r>
      <w:r>
        <w:t xml:space="preserve"> Falls Einigung -- notarielle Beurkundung Amendment Nr. 1.</w:t>
      </w:r>
    </w:p>
    <w:p>
      <w:pPr>
        <w:pStyle w:val="ListNumber"/>
      </w:pPr>
      <w:r>
        <w:rPr>
          <w:b/>
        </w:rPr>
        <w:t>Falls keine Einigung:</w:t>
      </w:r>
      <w:r>
        <w:t xml:space="preserve"> Status quo akzeptieren, Schadensersatz nach 17.4 SPA argumentativ vorbehalten.</w:t>
      </w:r>
    </w:p>
    <w:p>
      <w:pPr>
        <w:pStyle w:val="Heading2"/>
      </w:pPr>
      <w:r>
        <w:rPr>
          <w:rFonts w:ascii="Times New Roman" w:hAnsi="Times New Roman"/>
        </w:rPr>
        <w:t>Honorar / Verhandlung</w:t>
      </w:r>
    </w:p>
    <w:p>
      <w:pPr>
        <w:jc w:val="left"/>
      </w:pPr>
      <w:r>
        <w:t>Kein zusätzliches Honorar; Amendment-Verhandlung läuft im Festpreis Closing (45.000 EUR netto, AKB 2025-1144). Notarkosten Amendment werden zwischen Käuferin und Verkäuferin geteilt (50/50, vorbehaltlich Bestätigung Schramm Wenders).</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Nordtor Beteiligungen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2C5230"/>
        <w:sz w:val="24"/>
      </w:rPr>
      <w:t>Nordtor Beteiligungen GmbH</w:t>
    </w:r>
  </w:p>
  <w:p>
    <w:pPr>
      <w:jc w:val="left"/>
      <w:pBdr>
        <w:bottom w:val="single" w:sz="6" w:space="2" w:color="2C5230"/>
      </w:pBdr>
    </w:pPr>
    <w:r>
      <w:rPr>
        <w:rFonts w:ascii="Times New Roman" w:hAnsi="Times New Roman"/>
        <w:color w:val="6B6B66"/>
        <w:sz w:val="16"/>
      </w:rPr>
      <w:t>vertreten durch Schramm Wenders Reichardt LLP, Hamburg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