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Abschrift Bescheidkette Rosenwinkel 14/16</w:t>
      </w:r>
    </w:p>
    <w:p>
      <w:pPr>
        <w:jc w:val="left"/>
      </w:pPr>
      <w:r>
        <w:rPr>
          <w:b/>
        </w:rPr>
        <w:t>Mandant:</w:t>
      </w:r>
      <w:r>
        <w:t xml:space="preserve"> WEG Rosenwinkel 14/16, vertreten durch Rosenwinkel Hausverwaltung GmbH</w:t>
      </w:r>
    </w:p>
    <w:p>
      <w:pPr>
        <w:jc w:val="left"/>
      </w:pPr>
      <w:r>
        <w:rPr>
          <w:b/>
        </w:rPr>
        <w:t>Aktenzeichen Kanzlei:</w:t>
      </w:r>
      <w:r>
        <w:t xml:space="preserve"> KGK 2026-118 / Rosenwinkel</w:t>
      </w:r>
    </w:p>
    <w:p>
      <w:pPr>
        <w:jc w:val="left"/>
      </w:pPr>
      <w:r>
        <w:rPr>
          <w:b/>
        </w:rPr>
        <w:t>Bearbeitung:</w:t>
      </w:r>
      <w:r>
        <w:t xml:space="preserve"> RAin Brigitte Hauschulz-Müller, Fachanwältin für Steuerrecht; Lukas Hartmann, Steuerassistent</w:t>
      </w:r>
    </w:p>
    <w:p>
      <w:pPr>
        <w:jc w:val="left"/>
      </w:pPr>
      <w:r>
        <w:rPr>
          <w:b/>
        </w:rPr>
        <w:t>Abschrift:</w:t>
      </w:r>
      <w:r>
        <w:t xml:space="preserve"> Lukas Hartmann, 19.05.2026</w:t>
      </w:r>
    </w:p>
    <w:p>
      <w:pPr>
        <w:jc w:val="left"/>
      </w:pPr>
      <w:r>
        <w:rPr>
          <w:b/>
        </w:rPr>
        <w:t>Quelle:</w:t>
      </w:r>
      <w:r>
        <w:t xml:space="preserve"> Originalbescheide nachgefordert bei Hausverwaltung, eingegangen 19.05.2026 per Post</w:t>
      </w:r>
    </w:p>
    <w:p>
      <w:pPr>
        <w:pStyle w:val="Heading2"/>
      </w:pPr>
      <w:r>
        <w:rPr>
          <w:rFonts w:ascii="Times New Roman" w:hAnsi="Times New Roman"/>
        </w:rPr>
        <w:t>A. Finanzamt Trier -- Grundsteuerwertbescheid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Feststellung des Grundsteuerwerts auf den 01.01.2022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datiert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22.08.2024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Versandt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22.08.2024 (mit einfachem Brief)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Bekanntgabe laut Posteingang Hausverwaltung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26.08.2024 (Eingangsstempel)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42/318/00917 GWB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42/318/0091/7 (lautend auf die WEG Rosenwinkel 14/16)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Wirtschaftliche Einheit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Rosenwinkel 14/16, 54290 Trier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 der wirtschaftlichen Einheit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gemischt genutztes Grundstück nach § 244 Abs. 3 Nr. 5 BewG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Grundsteuerwert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3.284.000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Festsetzungsrahmen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Hauptfeststellung 01.01.2022; Folgebescheide bei wesentlichen Änderungen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Einspruchsfrist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 Monat ab Bekanntgabe (§ 355 Abs. 1 AO) -- abgelaufen 26.09.2024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Sachbearbeiter FA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Herr Konkel, Bewertungsstelle (Telefon 0651/91 33-2218)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Auszug Bewertungsgrundlagen (Bescheid Seite 2 -- 4)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Feststellung laut Bescheid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Grundstücksfläche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1.148 qm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Wohnfläche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1.034 qm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Nutzfläche Gewerbe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184 qm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Baujahr Vorderhaus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1908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Baujahr Seitenflügel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Baujahr Hinterhaus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 Bescheid nicht ausgewiesen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Bodenrichtwert zum 01.01.2022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1.050 EUR/qm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Mietniveaustufe Stadt Trier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Erklärungseingang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17.02.2023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Erklärungsabgeber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"Eigentümergemeinschaft Rosenwinkel 14/16, vertreten durch Rosenwinkel Hausverwaltung GmbH"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Bundesmodell (Rheinland-Pfalz ohne Landesabweichung)</w:t>
            </w:r>
          </w:p>
        </w:tc>
      </w:tr>
    </w:tbl>
    <w:p>
      <w:pPr>
        <w:jc w:val="left"/>
      </w:pPr>
      <w:r>
        <w:rPr>
          <w:b/>
        </w:rPr>
        <w:t>Hinweis im Bescheid (Seite 5):</w:t>
      </w:r>
      <w:r>
        <w:t xml:space="preserve"> "Die Feststellung beruht auf den erklärten Daten und den elektronisch abgerufenen Bodenrichtwertinformationen. Eine ortsbezogene Überprüfung erfolgte nicht."</w:t>
      </w:r>
    </w:p>
    <w:p>
      <w:pPr>
        <w:jc w:val="left"/>
      </w:pPr>
      <w:r>
        <w:rPr>
          <w:b/>
        </w:rPr>
        <w:t>Rechtsbehelfsbelehrung (Seite 6):</w:t>
      </w:r>
      <w:r>
        <w:t xml:space="preserve"> Hinweis auf Einspruch nach § 347 AO, Frist 1 Monat ab Bekanntgabe, Anschrift FA Trier.</w:t>
      </w:r>
    </w:p>
    <w:p>
      <w:pPr>
        <w:pStyle w:val="Heading2"/>
      </w:pPr>
      <w:r>
        <w:rPr>
          <w:rFonts w:ascii="Times New Roman" w:hAnsi="Times New Roman"/>
        </w:rPr>
        <w:t>B. Finanzamt Trier -- Grundsteuermessbescheid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datiert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22.08.2024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zusammen mit Grundsteuerwertbescheid (im selben Briefumschlag, eine Sendung)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42/318/00917 MES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Messbetrag ab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3.542,98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Steuermesszahl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"begünstigte Wohnnutzung teilweise berücksichtigt, Mischsatz"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Bekanntgabe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zusammen mit Grundsteuerwertbescheid 26.08.2024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Einspruchsfrist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 Monat ab Bekanntgabe -- abgelaufen 26.09.2024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Rechnerische Plausibilisierung Messbetrag</w:t>
      </w:r>
    </w:p>
    <w:p>
      <w:pPr>
        <w:jc w:val="left"/>
      </w:pPr>
      <w:r>
        <w:t xml:space="preserve">Grundsteuerwert 3.284.000 EUR x Steuermesszahl (im Bescheid pauschal "0,108 %" für gemischt genutzte Grundstücke mit überwiegender Wohnnutzung) = </w:t>
      </w:r>
      <w:r>
        <w:rPr>
          <w:b/>
        </w:rPr>
        <w:t>3.546,72 EUR</w:t>
      </w:r>
      <w:r>
        <w:t>.</w:t>
      </w:r>
    </w:p>
    <w:p>
      <w:pPr>
        <w:jc w:val="left"/>
      </w:pPr>
      <w:r>
        <w:t xml:space="preserve">Abweichung zum Bescheid-Messbetrag (3.542,98 EUR): </w:t>
      </w:r>
      <w:r>
        <w:rPr>
          <w:b/>
        </w:rPr>
        <w:t>-3,74 EUR</w:t>
      </w:r>
      <w:r>
        <w:t>. Erklärbar durch Mischsatz aus separater Behandlung der Gewerbeanteile (höhere Messzahl für Nutzfläche Gewerbe). Plausibel, ohne dass es streiterheblich wäre.</w:t>
      </w:r>
    </w:p>
    <w:p>
      <w:pPr>
        <w:pStyle w:val="Heading2"/>
      </w:pPr>
      <w:r>
        <w:rPr>
          <w:rFonts w:ascii="Times New Roman" w:hAnsi="Times New Roman"/>
        </w:rPr>
        <w:t>C. Stadt Trier -- Grundsteuerbescheid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Grundsteuer B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datiert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Bekanntgabe laut Zustellungsstempel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 / Kassenzeichen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7008-4419-RO14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Sachbearbeiterin Stadt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Frau Stoll-Hannemann, Steueramt Stadt Trier, Zone Altstadt-West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 Stadt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0651/718-2240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Messbetrag laut Finanzamt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3.542,98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Hebesatz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550 %</w:t>
            </w:r>
            <w:r>
              <w:rPr>
                <w:rFonts w:ascii="Times New Roman" w:hAnsi="Times New Roman"/>
                <w:sz w:val="20"/>
              </w:rPr>
              <w:t xml:space="preserve"> (gemäß Hebesatzsatzung der Stadt Trier vom 12.12.2025)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19.486,39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Fälligkeiten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15.02., 15.05., 15.08., 15.11. zu je 4.871,60 EUR (Quartale)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Letzte Rate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4.871,59 EUR (Rundungsausgleich)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Einspruchsfrist gegen Gemeindebescheid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1 Monat ab Bekanntgabe -- bis </w:t>
            </w:r>
            <w:r>
              <w:rPr>
                <w:rFonts w:ascii="Times New Roman" w:hAnsi="Times New Roman"/>
                <w:b/>
                <w:sz w:val="20"/>
              </w:rPr>
              <w:t>15.06.2026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Anhang im Bescheid (Seite 3)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"Anlage Grundsteuer A -- Hoffläche 226 qm" mit Hebesatz 350 %, Jahresbetrag 35,42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Rechnerische Plausibilisierung Jahresbetrag</w:t>
      </w:r>
    </w:p>
    <w:p>
      <w:pPr>
        <w:jc w:val="left"/>
      </w:pPr>
      <w:r>
        <w:t xml:space="preserve">Messbetrag 3.542,98 EUR x Hebesatz 550 % = </w:t>
      </w:r>
      <w:r>
        <w:rPr>
          <w:b/>
        </w:rPr>
        <w:t>19.486,39 EUR</w:t>
      </w:r>
      <w:r>
        <w:t>. Übereinstimmend mit Bescheid.</w:t>
      </w:r>
    </w:p>
    <w:p>
      <w:pPr>
        <w:pStyle w:val="Heading3"/>
      </w:pPr>
      <w:r>
        <w:rPr>
          <w:rFonts w:ascii="Times New Roman" w:hAnsi="Times New Roman"/>
        </w:rPr>
        <w:t>Hinweis Grundsteuer A / Grundsteuer B</w:t>
      </w:r>
    </w:p>
    <w:p>
      <w:pPr>
        <w:jc w:val="left"/>
      </w:pPr>
      <w:r>
        <w:t xml:space="preserve">Der </w:t>
      </w:r>
      <w:r>
        <w:rPr>
          <w:b/>
        </w:rPr>
        <w:t>Hauptbescheid ist Grundsteuer B</w:t>
      </w:r>
      <w:r>
        <w:t xml:space="preserve"> (Gewerbe- und Wohngrundstücke). Im </w:t>
      </w:r>
      <w:r>
        <w:rPr>
          <w:b/>
        </w:rPr>
        <w:t>Anhang Seite 3</w:t>
      </w:r>
      <w:r>
        <w:t xml:space="preserve"> taucht jedoch eine </w:t>
      </w:r>
      <w:r>
        <w:rPr>
          <w:b/>
        </w:rPr>
        <w:t>separate Grundsteuer-A-Festsetzung</w:t>
      </w:r>
      <w:r>
        <w:t xml:space="preserve"> auf für eine "Hoffläche 226 qm" mit einem Jahresbetrag von 35,42 EUR. </w:t>
      </w:r>
      <w:r>
        <w:rPr>
          <w:b/>
        </w:rPr>
        <w:t>Grundsteuer A</w:t>
      </w:r>
      <w:r>
        <w:t xml:space="preserve"> betrifft Betriebe der Land- und Forstwirtschaft (§ 218 BewG). Die Hoffläche unserer WEG ist kein land- oder forstwirtschaftlicher Betrieb -- es handelt sich um den Innenhof des Wohn- und Geschäftshauses. Die Grundsteuer A-Festsetzung dürfte </w:t>
      </w:r>
      <w:r>
        <w:rPr>
          <w:b/>
        </w:rPr>
        <w:t>fehlerhaft</w:t>
      </w:r>
      <w:r>
        <w:t xml:space="preserve"> sein und ist gesondert anzugreifen.</w:t>
      </w:r>
    </w:p>
    <w:p>
      <w:pPr>
        <w:jc w:val="left"/>
      </w:pPr>
      <w:r>
        <w:t xml:space="preserve">Vermutung: Die Stadt Trier hat aus der </w:t>
      </w:r>
      <w:r>
        <w:rPr>
          <w:b/>
        </w:rPr>
        <w:t>Flurkarten-Auskunft</w:t>
      </w:r>
      <w:r>
        <w:t xml:space="preserve"> (Hofgrundstück) abgeleitet, dass eine separate Einheit "Hoffläche" existiert, und diese irrtümlich als Grundsteuer A geführt. Im Grundsteuerwertbescheid des FA Trier vom 22.08.2024 ist eine solche Aufteilung </w:t>
      </w:r>
      <w:r>
        <w:rPr>
          <w:b/>
        </w:rPr>
        <w:t>nicht</w:t>
      </w:r>
      <w:r>
        <w:t xml:space="preserve"> enthalten; das FA hat alles als eine wirtschaftliche Einheit gemischt genutzt geführt.</w:t>
      </w:r>
    </w:p>
    <w:p>
      <w:pPr>
        <w:pStyle w:val="Heading2"/>
      </w:pPr>
      <w:r>
        <w:rPr>
          <w:rFonts w:ascii="Times New Roman" w:hAnsi="Times New Roman"/>
        </w:rPr>
        <w:t>Auffälligkeiten und Streitpunkte</w:t>
      </w:r>
    </w:p>
    <w:p>
      <w:pPr>
        <w:pStyle w:val="ListNumber"/>
      </w:pPr>
      <w:r>
        <w:rPr>
          <w:b/>
        </w:rPr>
        <w:t>Im kommunalen Bescheid scheint der Messbetrag rechnerisch zutreffend übernommen zu sein</w:t>
      </w:r>
      <w:r>
        <w:t xml:space="preserve"> (3.542,98 EUR aus dem FA-Messbescheid). Hier ist die Gemeinde ohne Fehler.</w:t>
      </w:r>
    </w:p>
    <w:p>
      <w:pPr>
        <w:pStyle w:val="ListNumber"/>
      </w:pPr>
      <w:r>
        <w:t xml:space="preserve">Der </w:t>
      </w:r>
      <w:r>
        <w:rPr>
          <w:b/>
        </w:rPr>
        <w:t>Hauptfehler liegt wahrscheinlich in der Wertfeststellung</w:t>
      </w:r>
      <w:r>
        <w:t xml:space="preserve"> (Bescheid A) -- Flächenfehler, Bodenrichtwert, Behandlung des Hinterhauses und des Seitenflügels.</w:t>
      </w:r>
    </w:p>
    <w:p>
      <w:pPr>
        <w:pStyle w:val="ListNumber"/>
      </w:pPr>
      <w:r>
        <w:t xml:space="preserve">Die </w:t>
      </w:r>
      <w:r>
        <w:rPr>
          <w:b/>
        </w:rPr>
        <w:t>Einspruchsfrist gegen die Finanzamtsbescheide ist abgelaufen</w:t>
      </w:r>
      <w:r>
        <w:t xml:space="preserve"> (26.09.2024). Es kommen aber in Betracht:</w:t>
      </w:r>
    </w:p>
    <w:p>
      <w:pPr>
        <w:jc w:val="left"/>
      </w:pPr>
      <w:r>
        <w:t xml:space="preserve">a) </w:t>
      </w:r>
      <w:r>
        <w:rPr>
          <w:b/>
        </w:rPr>
        <w:t>Änderungsantrag</w:t>
      </w:r>
      <w:r>
        <w:t xml:space="preserve"> nach § 222 AO (offenbare Unrichtigkeit) oder § 173 AO (nachträglich bekannt gewordene Tatsachen).</w:t>
      </w:r>
    </w:p>
    <w:p>
      <w:pPr>
        <w:jc w:val="left"/>
      </w:pPr>
      <w:r>
        <w:t xml:space="preserve">b) </w:t>
      </w:r>
      <w:r>
        <w:rPr>
          <w:b/>
        </w:rPr>
        <w:t>Fehlerberichtigende Fortschreibung</w:t>
      </w:r>
      <w:r>
        <w:t xml:space="preserve"> nach § 222 BewG (Fortschreibung wegen Fehlerhaftigkeit der bisherigen Feststellung).</w:t>
      </w:r>
    </w:p>
    <w:p>
      <w:pPr>
        <w:jc w:val="left"/>
      </w:pPr>
      <w:r>
        <w:t xml:space="preserve">c) </w:t>
      </w:r>
      <w:r>
        <w:rPr>
          <w:b/>
        </w:rPr>
        <w:t>Wiedereinsetzung in den vorigen Stand</w:t>
      </w:r>
      <w:r>
        <w:t xml:space="preserve"> nur bei Sonderlage (§ 110 AO) -- hier nicht ersichtlich.</w:t>
      </w:r>
    </w:p>
    <w:p>
      <w:pPr>
        <w:jc w:val="left"/>
      </w:pPr>
      <w:r>
        <w:t xml:space="preserve">d) </w:t>
      </w:r>
      <w:r>
        <w:rPr>
          <w:b/>
        </w:rPr>
        <w:t>AdV-/Folgeprüfung</w:t>
      </w:r>
      <w:r>
        <w:t xml:space="preserve"> über den Gemeindebescheid -- Argument, dass die Bewertungsgrundlage offenkundig unrichtig ist und deshalb auch die Grundsteuer der Stadt ausgesetzt werden müsste.</w:t>
      </w:r>
    </w:p>
    <w:p>
      <w:pPr>
        <w:pStyle w:val="ListNumber"/>
      </w:pPr>
      <w:r>
        <w:t xml:space="preserve">Die </w:t>
      </w:r>
      <w:r>
        <w:rPr>
          <w:b/>
        </w:rPr>
        <w:t>Grundsteuer-A-Festsetzung</w:t>
      </w:r>
      <w:r>
        <w:t xml:space="preserve"> im Anhang ist </w:t>
      </w:r>
      <w:r>
        <w:rPr>
          <w:b/>
        </w:rPr>
        <w:t>separat</w:t>
      </w:r>
      <w:r>
        <w:t xml:space="preserve"> angreifbar mit Einspruch beim Steueramt der Stadt Trier (Frist 1 Monat ab Bekanntgabe, also bis </w:t>
      </w:r>
      <w:r>
        <w:rPr>
          <w:b/>
        </w:rPr>
        <w:t>15.06.2026</w:t>
      </w:r>
      <w:r>
        <w:t>).</w:t>
      </w:r>
    </w:p>
    <w:p>
      <w:pPr>
        <w:pStyle w:val="ListNumber"/>
      </w:pPr>
      <w:r>
        <w:t xml:space="preserve">Für </w:t>
      </w:r>
      <w:r>
        <w:rPr>
          <w:b/>
        </w:rPr>
        <w:t>2026 besteht Zahlungsdruck</w:t>
      </w:r>
      <w:r>
        <w:t>, auch wenn die Wertfeststellung angegriffen wird. Eine Stundung / Ratenzahlung bei der Stadtkasse kann beantragt werden (§ 222 AO i. V. m. § 4 KAG RP).</w:t>
      </w:r>
    </w:p>
    <w:p>
      <w:pPr>
        <w:pStyle w:val="Heading2"/>
      </w:pPr>
      <w:r>
        <w:rPr>
          <w:rFonts w:ascii="Times New Roman" w:hAnsi="Times New Roman"/>
        </w:rPr>
        <w:t>Verfahrensrechtlicher Knackpunkt</w:t>
      </w:r>
    </w:p>
    <w:p>
      <w:pPr>
        <w:jc w:val="left"/>
      </w:pPr>
      <w:r>
        <w:t xml:space="preserve">Die zentrale Frage ist: Wenn der Mandant nur den </w:t>
      </w:r>
      <w:r>
        <w:rPr>
          <w:b/>
        </w:rPr>
        <w:t>Gemeindebescheid</w:t>
      </w:r>
      <w:r>
        <w:t xml:space="preserve"> angreift, hilft ihm das nicht, weil die Stadt den Messbetrag korrekt übernommen hat. Ein Einspruch gegen den Gemeindebescheid bringt nur dann etwas, wenn er </w:t>
      </w:r>
      <w:r>
        <w:rPr>
          <w:b/>
        </w:rPr>
        <w:t>mit einem Antrag auf Korrektur der Bewertungsgrundlagen beim Finanzamt</w:t>
      </w:r>
      <w:r>
        <w:t xml:space="preserve"> kombiniert wird. Die Stadt darf den Messbetrag nicht selbst korrigieren -- der Messbetrag ist ein </w:t>
      </w:r>
      <w:r>
        <w:rPr>
          <w:b/>
        </w:rPr>
        <w:t>Grundlagenbescheid</w:t>
      </w:r>
      <w:r>
        <w:t xml:space="preserve"> für die Gemeinde (§ 184 AO i. V. m. § 219 BewG analog).</w:t>
      </w:r>
    </w:p>
    <w:p>
      <w:pPr>
        <w:jc w:val="left"/>
      </w:pPr>
      <w:r>
        <w:t xml:space="preserve">Daraus folgt strategisch: </w:t>
      </w:r>
      <w:r>
        <w:rPr>
          <w:b/>
        </w:rPr>
        <w:t>Hauptangriff = Finanzamt</w:t>
      </w:r>
      <w:r>
        <w:t xml:space="preserve"> (Änderungsantrag Wertfeststellung), </w:t>
      </w:r>
      <w:r>
        <w:rPr>
          <w:b/>
        </w:rPr>
        <w:t>Nebenangriff = Stadt</w:t>
      </w:r>
      <w:r>
        <w:t xml:space="preserve"> (Einspruch gegen Grundsteuer-A-Anhang, Stundung Gemeindebescheid).</w:t>
      </w:r>
    </w:p>
    <w:p>
      <w:pPr>
        <w:pStyle w:val="Heading2"/>
      </w:pPr>
      <w:r>
        <w:rPr>
          <w:rFonts w:ascii="Times New Roman" w:hAnsi="Times New Roman"/>
        </w:rPr>
        <w:t>Quellenverweise (intern)</w:t>
      </w:r>
    </w:p>
    <w:p>
      <w:pPr>
        <w:pStyle w:val="ListBullet"/>
      </w:pPr>
      <w:r>
        <w:t>Grundsteuergesetz (GrStG), Rheinland-Pfalz-Anwendung Bundesmodell.</w:t>
      </w:r>
    </w:p>
    <w:p>
      <w:pPr>
        <w:pStyle w:val="ListBullet"/>
      </w:pPr>
      <w:r>
        <w:t>Bewertungsgesetz (BewG) §§ 218 ff. (Grundsteuerwertermittlung).</w:t>
      </w:r>
    </w:p>
    <w:p>
      <w:pPr>
        <w:pStyle w:val="ListBullet"/>
      </w:pPr>
      <w:r>
        <w:t>Abgabenordnung (AO) §§ 110, 173, 175, 222, 347, 355, 361.</w:t>
      </w:r>
    </w:p>
    <w:p>
      <w:pPr>
        <w:pStyle w:val="ListBullet"/>
      </w:pPr>
      <w:r>
        <w:t>Kommunalabgabengesetz Rheinland-Pfalz (KAG RP) für gemeindliche Festsetzung.</w:t>
      </w:r>
    </w:p>
    <w:p>
      <w:pPr>
        <w:pStyle w:val="ListBullet"/>
      </w:pPr>
      <w:r>
        <w:t>Aktuelle BFH-Rechtsprechung im Aussetzungsverfahren zur Grundsteuerwertfeststellung (II. Senat); Aktenzeichen muss vor Versand verifiziert werden.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Rosenwinkel Hausverwaltung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Rosenwinkel Hausverwaltung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vertreten durch Rosenwinkel Hausverwaltung GmbH · Aktenzeichen Kanzlei: KGK 2026-118 / Rosenwink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