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Objektvermerk Rosenwinkel 14/16</w:t>
      </w:r>
    </w:p>
    <w:p>
      <w:pPr>
        <w:jc w:val="left"/>
      </w:pPr>
      <w:r>
        <w:rPr>
          <w:b/>
        </w:rPr>
        <w:t>Bearbeiterin:</w:t>
      </w:r>
      <w:r>
        <w:t xml:space="preserve"> Mathilde Kreutzer, Rosenwinkel Hausverwaltung GmbH</w:t>
      </w:r>
    </w:p>
    <w:p>
      <w:pPr>
        <w:jc w:val="left"/>
      </w:pPr>
      <w:r>
        <w:rPr>
          <w:b/>
        </w:rPr>
        <w:t>Datum:</w:t>
      </w:r>
      <w:r>
        <w:t xml:space="preserve"> 20.05.2026</w:t>
      </w:r>
    </w:p>
    <w:p>
      <w:pPr>
        <w:jc w:val="left"/>
      </w:pPr>
      <w:r>
        <w:rPr>
          <w:b/>
        </w:rPr>
        <w:t>Anlass:</w:t>
      </w:r>
      <w:r>
        <w:t xml:space="preserve"> Vorbereitung Mandantenbesprechung mit RAin Hauschulz-Müller am 22.05.2026</w:t>
      </w:r>
    </w:p>
    <w:p>
      <w:pPr>
        <w:jc w:val="left"/>
      </w:pPr>
      <w:r>
        <w:rPr>
          <w:b/>
        </w:rPr>
        <w:t>Aktenzeichen Hausverwaltung:</w:t>
      </w:r>
      <w:r>
        <w:t xml:space="preserve"> RW 14/16-GST-2026</w:t>
      </w:r>
    </w:p>
    <w:p>
      <w:pPr>
        <w:jc w:val="left"/>
      </w:pPr>
      <w:r>
        <w:rPr>
          <w:b/>
        </w:rPr>
        <w:t>Bezug:</w:t>
      </w:r>
      <w:r>
        <w:t xml:space="preserve"> Grundsteuerbescheid Stadt Trier 2026 vom 13.05.2026; Bescheide FA Trier 22.08.2024</w:t>
      </w:r>
    </w:p>
    <w:p>
      <w:pPr>
        <w:pStyle w:val="Heading2"/>
      </w:pPr>
      <w:r>
        <w:rPr>
          <w:rFonts w:ascii="Times New Roman" w:hAnsi="Times New Roman"/>
        </w:rPr>
        <w:t>Objekt</w:t>
      </w:r>
    </w:p>
    <w:p>
      <w:pPr>
        <w:jc w:val="left"/>
      </w:pPr>
      <w:r>
        <w:rPr>
          <w:b/>
        </w:rPr>
        <w:t>Denkmalgeschütztes Wohn- und Geschäftshaus</w:t>
      </w:r>
      <w:r>
        <w:t xml:space="preserve"> in der Trierer Altstadt, bestehend aus Vorderhaus, Seitenflügel und Hinterhaus. Das Grundstück liegt </w:t>
      </w:r>
      <w:r>
        <w:rPr>
          <w:b/>
        </w:rPr>
        <w:t>nicht</w:t>
      </w:r>
      <w:r>
        <w:t xml:space="preserve"> unmittelbar an der hochfrequentierten Hauptlage (Hauptstraße, Marktplatz), sondern in einer </w:t>
      </w:r>
      <w:r>
        <w:rPr>
          <w:b/>
        </w:rPr>
        <w:t>Seitengasse</w:t>
      </w:r>
      <w:r>
        <w:t xml:space="preserve"> (Rosenwinkel) mit schmaler Zufahrt und Lieferbeschränkungen. Der Innenhof ist für Fahrzeuge über 2,10 m Breite praktisch nicht erreichbar (Tordurchfahrt 2,05 m hoch, 2,15 m breit; Engstelle Treppe an der Toreinfahrt).</w:t>
      </w:r>
    </w:p>
    <w:p>
      <w:pPr>
        <w:jc w:val="left"/>
      </w:pPr>
      <w:r>
        <w:rPr>
          <w:b/>
        </w:rPr>
        <w:t>Flurstücke laut Kataster:</w:t>
      </w:r>
    </w:p>
    <w:p>
      <w:pPr>
        <w:pStyle w:val="ListBullet"/>
      </w:pPr>
      <w:r>
        <w:t>Flur 7022, Flurstück 11 (Vorderhaus + Seitenflügel + Hinterhaus + Hof), 1.148 qm gesamt.</w:t>
      </w:r>
    </w:p>
    <w:p>
      <w:pPr>
        <w:pStyle w:val="ListBullet"/>
      </w:pPr>
      <w:r>
        <w:t>Flurkarte zuletzt aktualisiert 14.06.1998 (WEG-Teilung).</w:t>
      </w:r>
    </w:p>
    <w:p>
      <w:pPr>
        <w:jc w:val="left"/>
      </w:pPr>
      <w:r>
        <w:rPr>
          <w:b/>
        </w:rPr>
        <w:t>Adressen im Bestand:</w:t>
      </w:r>
    </w:p>
    <w:p>
      <w:pPr>
        <w:pStyle w:val="ListBullet"/>
      </w:pPr>
      <w:r>
        <w:t>Rosenwinkel 14 (Hauptzugang Vorderhaus, Klingelanlage 12 Klingeln)</w:t>
      </w:r>
    </w:p>
    <w:p>
      <w:pPr>
        <w:pStyle w:val="ListBullet"/>
      </w:pPr>
      <w:r>
        <w:t>Rosenwinkel 16 (Nebenzugang über Seitenflügel, 4 Klingeln, Brandschutzmängel)</w:t>
      </w:r>
    </w:p>
    <w:p>
      <w:pPr>
        <w:pStyle w:val="ListBullet"/>
      </w:pPr>
      <w:r>
        <w:t>Hofzugang über Rosenwinkel 14 (Tor und schmale Durchfahrt)</w:t>
      </w:r>
    </w:p>
    <w:p>
      <w:pPr>
        <w:pStyle w:val="Heading2"/>
      </w:pPr>
      <w:r>
        <w:rPr>
          <w:rFonts w:ascii="Times New Roman" w:hAnsi="Times New Roman"/>
        </w:rPr>
        <w:t>Eigentümerstruktur</w:t>
      </w:r>
    </w:p>
    <w:p>
      <w:pPr>
        <w:jc w:val="left"/>
      </w:pPr>
      <w:r>
        <w:t>Die WEG hat 14 Sondereigentumseinheiten (12 Wohnungen + 2 Gewerbeeinheiten) und Gemeinschaftseigentum. Eigentümer: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Eigentümer:in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MEA-Anteil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W1 (EG Buchbinderei)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Erbengemeinschaft Klee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vermietet an C. Klee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W2 (EG Laden)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Helene Krachtburg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leerstehend seit 09/2024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W3 (1. OG VH links)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Familie Berisha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102/1000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W4 (1. OG VH rechts)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Lux 1 (S.à r.l. Luxemburg)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102/1000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W5 (2. OG VH links)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Helene Krachtburg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105/1000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eigengenutzt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W6 (2. OG VH rechts)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Lux 2 (S.à r.l. Luxemburg)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105/1000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W7 (DG VH)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von Pollerich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W8 (EG Seitenflügel)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 (Sondernutzungsrecht)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Lager / unnutzbar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W9 (1. OG Seitenflügel)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Erbengemeinschaft Vogt-Holm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unvermietet (Brandschutz)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W10 (2. OG Seitenflügel)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Selma Yildiz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64/1000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eigengenutzt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W11 (Hinterhaus oben)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Erbengemeinschaft Klee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Werkstattnutzung Klee Buchbinderei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W12 (Hinterhaus unten)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Erbengemeinschaft Klee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Archiv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G1 (Hoffläche teilweise als Sondernutzung)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Familie Berisha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Stellplatz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G2 (Hoffläche teilweise als Sondernutzung)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Lux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Stellplatz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Restliches Gemeinschaftseigentum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88/1000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Hof, Treppenhaus, Dach, Hauswartraum</w:t>
            </w:r>
          </w:p>
        </w:tc>
      </w:tr>
    </w:tbl>
    <w:p>
      <w:pPr>
        <w:jc w:val="left"/>
      </w:pPr>
      <w:r>
        <w:rPr>
          <w:b/>
        </w:rPr>
        <w:t>Verwalterin:</w:t>
      </w:r>
      <w:r>
        <w:t xml:space="preserve"> Rosenwinkel Hausverwaltung GmbH (M. Kreutzer), Bestellung seit 01.01.2018, verlängert bis 31.12.2027.</w:t>
      </w:r>
    </w:p>
    <w:p>
      <w:pPr>
        <w:pStyle w:val="Heading2"/>
      </w:pPr>
      <w:r>
        <w:rPr>
          <w:rFonts w:ascii="Times New Roman" w:hAnsi="Times New Roman"/>
        </w:rPr>
        <w:t>Nutzungsrealität</w:t>
      </w:r>
    </w:p>
    <w:p>
      <w:pPr>
        <w:pStyle w:val="ListBullet"/>
      </w:pPr>
      <w:r>
        <w:t xml:space="preserve">Das </w:t>
      </w:r>
      <w:r>
        <w:rPr>
          <w:b/>
        </w:rPr>
        <w:t>Vorderhaus</w:t>
      </w:r>
      <w:r>
        <w:t xml:space="preserve"> ist überwiegend zu Wohnzwecken genutzt (6 Wohnungen W3 -- W7).</w:t>
      </w:r>
    </w:p>
    <w:p>
      <w:pPr>
        <w:pStyle w:val="ListBullet"/>
      </w:pPr>
      <w:r>
        <w:t xml:space="preserve">Im </w:t>
      </w:r>
      <w:r>
        <w:rPr>
          <w:b/>
        </w:rPr>
        <w:t>Erdgeschoss links</w:t>
      </w:r>
      <w:r>
        <w:t xml:space="preserve"> befindet sich eine kleine </w:t>
      </w:r>
      <w:r>
        <w:rPr>
          <w:b/>
        </w:rPr>
        <w:t>Buchbinderei</w:t>
      </w:r>
      <w:r>
        <w:t xml:space="preserve"> (W1) mit Publikumsverkehr an drei Tagen pro Woche (Di / Do / Sa Vormittag, geöffnet von 10:00 -- 13:00 Uhr).</w:t>
      </w:r>
    </w:p>
    <w:p>
      <w:pPr>
        <w:pStyle w:val="ListBullet"/>
      </w:pPr>
      <w:r>
        <w:t xml:space="preserve">Das frühere </w:t>
      </w:r>
      <w:r>
        <w:rPr>
          <w:b/>
        </w:rPr>
        <w:t>Ladenlokal rechts</w:t>
      </w:r>
      <w:r>
        <w:t xml:space="preserve"> (W2) steht seit </w:t>
      </w:r>
      <w:r>
        <w:rPr>
          <w:b/>
        </w:rPr>
        <w:t>September 2024</w:t>
      </w:r>
      <w:r>
        <w:t xml:space="preserve"> leer. Zwei Mietinteressenten sind abgesprungen, weil </w:t>
      </w:r>
      <w:r>
        <w:rPr>
          <w:b/>
        </w:rPr>
        <w:t>keine barrierefreie Erschließung</w:t>
      </w:r>
      <w:r>
        <w:t xml:space="preserve"> möglich ist (Stufe von 14 cm an der Eingangstür, Denkmalschutzauflage; Rampe nicht genehmigt).</w:t>
      </w:r>
    </w:p>
    <w:p>
      <w:pPr>
        <w:pStyle w:val="ListBullet"/>
      </w:pPr>
      <w:r>
        <w:t xml:space="preserve">Der </w:t>
      </w:r>
      <w:r>
        <w:rPr>
          <w:b/>
        </w:rPr>
        <w:t>Seitenflügel</w:t>
      </w:r>
      <w:r>
        <w:t xml:space="preserve"> leidet unter Feuchtigkeitsschäden im Treppenhaus. Eine Brandschutzertüchtigung ist seit 2024 in Planung; Bauaufsicht Trier hat mit Schreiben vom 18.07.2024 (Az. 50-BA-2024/0772) die Nutzung der Wohnungen W9 und W10 nur eingeschränkt zugelassen.</w:t>
      </w:r>
    </w:p>
    <w:p>
      <w:pPr>
        <w:pStyle w:val="ListBullet"/>
      </w:pPr>
      <w:r>
        <w:t xml:space="preserve">Das </w:t>
      </w:r>
      <w:r>
        <w:rPr>
          <w:b/>
        </w:rPr>
        <w:t>Hinterhaus</w:t>
      </w:r>
      <w:r>
        <w:t xml:space="preserve"> wird </w:t>
      </w:r>
      <w:r>
        <w:rPr>
          <w:b/>
        </w:rPr>
        <w:t>faktisch als Archiv und Werkstatt</w:t>
      </w:r>
      <w:r>
        <w:t xml:space="preserve"> genutzt (Buchbinderei Klee, alte Gewerbegenehmigung von 1987). Es besitzt </w:t>
      </w:r>
      <w:r>
        <w:rPr>
          <w:b/>
        </w:rPr>
        <w:t>keine zeitgemäße Wohnerschließung</w:t>
      </w:r>
      <w:r>
        <w:t>: keine zentrale Heizung, keine moderne Elektroinstallation, keine eigenständigen Sanitärräume. Die im Grundsteuerwertbescheid als "Wohnfläche" geführten 194 qm sind faktisch keine Wohnfläche.</w:t>
      </w:r>
    </w:p>
    <w:p>
      <w:pPr>
        <w:pStyle w:val="Heading2"/>
      </w:pPr>
      <w:r>
        <w:rPr>
          <w:rFonts w:ascii="Times New Roman" w:hAnsi="Times New Roman"/>
        </w:rPr>
        <w:t>Denkmalschutz</w:t>
      </w:r>
    </w:p>
    <w:p>
      <w:pPr>
        <w:jc w:val="left"/>
      </w:pPr>
      <w:r>
        <w:t xml:space="preserve">Der </w:t>
      </w:r>
      <w:r>
        <w:rPr>
          <w:b/>
        </w:rPr>
        <w:t>Denkmalschutzbescheid vom 11.03.1998</w:t>
      </w:r>
      <w:r>
        <w:t xml:space="preserve"> (Generaldirektion Kulturelles Erbe Rheinland-Pfalz, Az. 4/D-MZ-1998/04488) betrifft:</w:t>
      </w:r>
    </w:p>
    <w:p>
      <w:pPr>
        <w:pStyle w:val="ListBullet"/>
      </w:pPr>
      <w:r>
        <w:t>Fassaden Vorderhaus und Seitenflügel (Schauseiten zur Straße und zum Hof).</w:t>
      </w:r>
    </w:p>
    <w:p>
      <w:pPr>
        <w:pStyle w:val="ListBullet"/>
      </w:pPr>
      <w:r>
        <w:t>Treppenhaus Vorderhaus (Stuck, Geländer, Wandfassungen).</w:t>
      </w:r>
    </w:p>
    <w:p>
      <w:pPr>
        <w:pStyle w:val="ListBullet"/>
      </w:pPr>
      <w:r>
        <w:t>Dachform (Mansarddach mit historischer Gaubenform).</w:t>
      </w:r>
    </w:p>
    <w:p>
      <w:pPr>
        <w:pStyle w:val="ListBullet"/>
      </w:pPr>
      <w:r>
        <w:t>Hofpflaster (Großsteinpflaster 1880er Jahre).</w:t>
      </w:r>
    </w:p>
    <w:p>
      <w:pPr>
        <w:jc w:val="left"/>
      </w:pPr>
      <w:r>
        <w:rPr>
          <w:b/>
        </w:rPr>
        <w:t>Genehmigungspflichtig</w:t>
      </w:r>
      <w:r>
        <w:t xml:space="preserve"> sind nach diesem Bescheid:</w:t>
      </w:r>
    </w:p>
    <w:p>
      <w:pPr>
        <w:pStyle w:val="ListBullet"/>
      </w:pPr>
      <w:r>
        <w:t>Änderungen an Fensteröffnungen.</w:t>
      </w:r>
    </w:p>
    <w:p>
      <w:pPr>
        <w:pStyle w:val="ListBullet"/>
      </w:pPr>
      <w:r>
        <w:t>Neue oder veränderte Dachgauben.</w:t>
      </w:r>
    </w:p>
    <w:p>
      <w:pPr>
        <w:pStyle w:val="ListBullet"/>
      </w:pPr>
      <w:r>
        <w:t>Änderungen am Treppenhaus Vorderhaus.</w:t>
      </w:r>
    </w:p>
    <w:p>
      <w:pPr>
        <w:pStyle w:val="ListBullet"/>
      </w:pPr>
      <w:r>
        <w:t>Veränderung des Hofpflasters.</w:t>
      </w:r>
    </w:p>
    <w:p>
      <w:pPr>
        <w:jc w:val="left"/>
      </w:pPr>
      <w:r>
        <w:t xml:space="preserve">Die Verwaltung geht davon aus, dass die </w:t>
      </w:r>
      <w:r>
        <w:rPr>
          <w:b/>
        </w:rPr>
        <w:t>Sanierungskosten</w:t>
      </w:r>
      <w:r>
        <w:t xml:space="preserve"> deutlich höher sind als bei vergleichbaren Gebäuden (Schätzung Bauunternehmer Hammelrath, Trier, vom 12.03.2025: Brandschutzertüchtigung Seitenflügel kostet ca. </w:t>
      </w:r>
      <w:r>
        <w:rPr>
          <w:b/>
        </w:rPr>
        <w:t>380.000 -- 420.000 EUR</w:t>
      </w:r>
      <w:r>
        <w:t>, davon Mehrkosten wegen Denkmalschutz ca. 90.000 EUR).</w:t>
      </w:r>
    </w:p>
    <w:p>
      <w:pPr>
        <w:pStyle w:val="Heading2"/>
      </w:pPr>
      <w:r>
        <w:rPr>
          <w:rFonts w:ascii="Times New Roman" w:hAnsi="Times New Roman"/>
        </w:rPr>
        <w:t>Bewertungsauffälligkeit</w:t>
      </w:r>
    </w:p>
    <w:p>
      <w:pPr>
        <w:jc w:val="left"/>
      </w:pPr>
      <w:r>
        <w:t xml:space="preserve">Der </w:t>
      </w:r>
      <w:r>
        <w:rPr>
          <w:b/>
        </w:rPr>
        <w:t>Bodenrichtwert</w:t>
      </w:r>
      <w:r>
        <w:t xml:space="preserve"> im Bescheid (1.050 EUR/qm) entspricht nach unserer Einschätzung eher der Zone </w:t>
      </w:r>
      <w:r>
        <w:rPr>
          <w:b/>
        </w:rPr>
        <w:t>"Hauptstraße / Marktplatz"</w:t>
      </w:r>
      <w:r>
        <w:t xml:space="preserve">. Für den Rosenwinkel selbst nennt die telefonische Auskunft des Gutachterausschusses Trier (Frau Hoffmann, Telefonat 14.04.2025) eine </w:t>
      </w:r>
      <w:r>
        <w:rPr>
          <w:b/>
        </w:rPr>
        <w:t>Nebenlagenzone</w:t>
      </w:r>
      <w:r>
        <w:t xml:space="preserve"> mit Abschlägen von 25 -- 35 % zum Stichtag 01.01.2022. Die Verwaltung hat bisher nur einen </w:t>
      </w:r>
      <w:r>
        <w:rPr>
          <w:b/>
        </w:rPr>
        <w:t>Screenshot</w:t>
      </w:r>
      <w:r>
        <w:t xml:space="preserve"> vom Online-Auskunftsportal (BORIS Rheinland-Pfalz), aber noch </w:t>
      </w:r>
      <w:r>
        <w:rPr>
          <w:b/>
        </w:rPr>
        <w:t>keine amtliche Auskunft mit Signatur</w:t>
      </w:r>
      <w:r>
        <w:t>.</w:t>
      </w:r>
    </w:p>
    <w:p>
      <w:pPr>
        <w:jc w:val="left"/>
      </w:pPr>
      <w:r>
        <w:t>Die offizielle Bodenrichtwertauskunft kostet bei Beantragung über den Gutachterausschuss 35 EUR pro Stichtag, plus 12 EUR Schreibgebühr. Die Verwaltung wird die Auskunft sofort beantragen.</w:t>
      </w:r>
    </w:p>
    <w:p>
      <w:pPr>
        <w:pStyle w:val="Heading2"/>
      </w:pPr>
      <w:r>
        <w:rPr>
          <w:rFonts w:ascii="Times New Roman" w:hAnsi="Times New Roman"/>
        </w:rPr>
        <w:t>Leerstand W2 Ladenlokal -- Belegtreppe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Mietvertrag mit Vormieter (Naturkost Hoffmann KG)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01.07.2019 -- 31.08.2024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Kündigungsschreiben Hoffmann 28.02.2024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Mietausschreibung ImmoScout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12.04.2024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Online-Archiv ImmoScout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Mietinteressent 1 -- Apotheke "Engel" Trier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28.05.2024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Mailverkehr; abgesprungen wegen Barrierefreiheit am 22.06.2024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Mietinteressent 2 -- Bibliothek Antiquariat Reinhard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Mailverkehr; abgesprungen wegen Mietpreis am 12.07.2024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Mietausschreibung Auflage 2 (mit reduzierter Miete)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22.08.2024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Online-Archiv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Mietausschreibung Auflage 3 (mit Werbung in Trier-Wochenpresse)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Anzeigenrechnung Trierischer Volksfreund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 keine konkreten Interessenten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 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Nebenkostenkonto (Belege Leerstand seit 09/2024)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Buchführung Rosenwinkel HV GmbH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Anlagenstand für Kanzlei</w:t>
      </w:r>
    </w:p>
    <w:p>
      <w:pPr>
        <w:pStyle w:val="ListBullet"/>
      </w:pPr>
      <w:r>
        <w:t>Fotos Feuchtigkeit Seitenflügel vom 08.01.2026 (5 Aufnahmen, jpg).</w:t>
      </w:r>
    </w:p>
    <w:p>
      <w:pPr>
        <w:pStyle w:val="ListBullet"/>
      </w:pPr>
      <w:r>
        <w:t>Bauaufsichtsschreiben vom 18.07.2024 (Az. 50-BA-2024/0772).</w:t>
      </w:r>
    </w:p>
    <w:p>
      <w:pPr>
        <w:pStyle w:val="ListBullet"/>
      </w:pPr>
      <w:r>
        <w:t>Denkmalschutzbescheid vom 11.03.1998 (Az. 4/D-MZ-1998/04488).</w:t>
      </w:r>
    </w:p>
    <w:p>
      <w:pPr>
        <w:pStyle w:val="ListBullet"/>
      </w:pPr>
      <w:r>
        <w:t>Aufmaß Architektin Franziska Wiegand vom 14.09.2021 (DIN-A3-Pläne als PDF).</w:t>
      </w:r>
    </w:p>
    <w:p>
      <w:pPr>
        <w:pStyle w:val="ListBullet"/>
      </w:pPr>
      <w:r>
        <w:t>Mieterkorrespondenz Ladenleerstand 2024/2025 (zusammengefasst als PDF, ca. 38 Seiten).</w:t>
      </w:r>
    </w:p>
    <w:p>
      <w:pPr>
        <w:pStyle w:val="ListBullet"/>
      </w:pPr>
      <w:r>
        <w:t>Bauschadensbericht Büro Behringer-Sams vom 12.02.2025 (32 Seiten, mit Kostenschätzung).</w:t>
      </w:r>
    </w:p>
    <w:p>
      <w:pPr>
        <w:pStyle w:val="ListBullet"/>
      </w:pPr>
      <w:r>
        <w:t>Mietvertrag Buchbinderei Klee vom 01.04.2019 (24 Seiten).</w:t>
      </w:r>
    </w:p>
    <w:p>
      <w:pPr>
        <w:pStyle w:val="ListBullet"/>
      </w:pPr>
      <w:r>
        <w:t>Mietvertrag Vormieter Hoffmann KG (zur Plausibilisierung Mietpreis).</w:t>
      </w:r>
    </w:p>
    <w:p>
      <w:pPr>
        <w:pStyle w:val="ListBullet"/>
      </w:pPr>
      <w:r>
        <w:t>Auszug Hausgeldbuchführung 2024/2025 zur Plausibilisierung Leerstand W2.</w:t>
      </w:r>
    </w:p>
    <w:p>
      <w:pPr>
        <w:pStyle w:val="Heading2"/>
      </w:pPr>
      <w:r>
        <w:rPr>
          <w:rFonts w:ascii="Times New Roman" w:hAnsi="Times New Roman"/>
        </w:rPr>
        <w:t>Hinweise Hausverwaltung an Kanzlei</w:t>
      </w:r>
    </w:p>
    <w:p>
      <w:pPr>
        <w:pStyle w:val="ListNumber"/>
      </w:pPr>
      <w:r>
        <w:t>Die Eigentümerstruktur ist heterogen. Die Anlage-S.à r.l.s aus Luxemburg (Anlage Lux 1, Anlage Lux 2) reagieren langsam auf Anfragen und wollen vor allem nichts mit Verwaltungskosten zu tun haben.</w:t>
      </w:r>
    </w:p>
    <w:p>
      <w:pPr>
        <w:pStyle w:val="ListNumber"/>
      </w:pPr>
      <w:r>
        <w:t>Helene Krachtburg (W2 leerstehend) hat angekündigt, ihren MEA-Anteil an den Verfahrenskosten nicht zu tragen, weil sie "ohnehin am meisten benachteiligt" sei. Das ist juristisch nicht haltbar, aber wird in der Eigentümerversammlung Stress geben.</w:t>
      </w:r>
    </w:p>
    <w:p>
      <w:pPr>
        <w:pStyle w:val="ListNumber"/>
      </w:pPr>
      <w:r>
        <w:t>Selma Yildiz (W10) hat ein gutes Verhältnis zur Hausverwaltung und unterstützt das Vorgehen.</w:t>
      </w:r>
    </w:p>
    <w:p>
      <w:pPr>
        <w:pStyle w:val="ListNumber"/>
      </w:pPr>
      <w:r>
        <w:t>Die Erbengemeinschaft Klee (W1, W11, W12) ist gleichzeitig Mieterin der Buchbinderei -- möglicher Interessenkonflikt bei Bewertungsfragen Hinterhaus.</w:t>
      </w:r>
    </w:p>
    <w:p>
      <w:pPr>
        <w:pStyle w:val="Heading2"/>
      </w:pPr>
      <w:r>
        <w:rPr>
          <w:rFonts w:ascii="Times New Roman" w:hAnsi="Times New Roman"/>
        </w:rPr>
        <w:t>Erwartete Fragen Eigentümerversammlung 04.06.2026</w:t>
      </w:r>
    </w:p>
    <w:p>
      <w:pPr>
        <w:pStyle w:val="ListBullet"/>
      </w:pPr>
      <w:r>
        <w:t>"Können wir die Grundsteuer aussetzen?" -- Ja, mit Antrag auf AdV, aber: Zahlungspflicht bleibt grundsätzlich.</w:t>
      </w:r>
    </w:p>
    <w:p>
      <w:pPr>
        <w:pStyle w:val="ListBullet"/>
      </w:pPr>
      <w:r>
        <w:t>"Wer zahlt das Anwaltshonorar?" -- WEG-Sache nach § 16 WEG; bei Verteilung nach MEA-Anteilen.</w:t>
      </w:r>
    </w:p>
    <w:p>
      <w:pPr>
        <w:pStyle w:val="ListBullet"/>
      </w:pPr>
      <w:r>
        <w:t>"Macht die Anlage 1 in Luxemburg mit?" -- Beschluss der WEG nach Mehrheitsregel; die Anlagen Lux müssen mittragen.</w:t>
      </w:r>
    </w:p>
    <w:p>
      <w:pPr>
        <w:pStyle w:val="ListBullet"/>
      </w:pPr>
      <w:r>
        <w:t>"Frau Krachtburg sagt, sie zahlt nicht. Was machen wir?" -- WEG-Beschluss bindet alle Eigentümer.</w:t>
      </w:r>
    </w:p>
    <w:p>
      <w:pPr>
        <w:pStyle w:val="ListBullet"/>
      </w:pPr>
      <w:r>
        <w:t>"Verfassungswidrigkeit Grundsteuer?" -- vorsichtig formulieren; nicht reflexhaft bejahen.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Rosenwinkel Hausverwaltung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Rosenwinkel Hausverwaltung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Aktenzeichen Hausverwaltung: RW 14/16-GST-2026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