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 und Gemeindevermerk</w:t>
      </w:r>
    </w:p>
    <w:p>
      <w:pPr>
        <w:jc w:val="left"/>
      </w:pPr>
      <w:r>
        <w:rPr>
          <w:b/>
        </w:rPr>
        <w:t>Mandantin:</w:t>
      </w:r>
      <w:r>
        <w:t xml:space="preserve"> WEG Rosenwinkel 14/16</w:t>
      </w:r>
    </w:p>
    <w:p>
      <w:pPr>
        <w:jc w:val="left"/>
      </w:pPr>
      <w:r>
        <w:rPr>
          <w:b/>
        </w:rPr>
        <w:t>Bearbeitung:</w:t>
      </w:r>
      <w:r>
        <w:t xml:space="preserve"> RAin Brigitte Hauschulz-Müller, Lukas Hartmann</w:t>
      </w:r>
    </w:p>
    <w:p>
      <w:pPr>
        <w:jc w:val="left"/>
      </w:pPr>
      <w:r>
        <w:rPr>
          <w:b/>
        </w:rPr>
        <w:t>Datum:</w:t>
      </w:r>
      <w:r>
        <w:t xml:space="preserve"> 23.05.2026</w:t>
      </w:r>
    </w:p>
    <w:p>
      <w:pPr>
        <w:jc w:val="left"/>
      </w:pPr>
      <w:r>
        <w:rPr>
          <w:b/>
        </w:rPr>
        <w:t>Aktenzeichen Kanzlei:</w:t>
      </w:r>
      <w:r>
        <w:t xml:space="preserve"> KGK 2026-118 / Rosenwinkel</w:t>
      </w:r>
    </w:p>
    <w:p>
      <w:pPr>
        <w:jc w:val="left"/>
      </w:pPr>
      <w:r>
        <w:rPr>
          <w:b/>
        </w:rPr>
        <w:t>Bezug:</w:t>
      </w:r>
      <w:r>
        <w:t xml:space="preserve"> Grundsteuerbescheid Stadt Trier 2026 vom 13.05.2026, Kassenzeichen 7008-4419-RO14</w:t>
      </w:r>
    </w:p>
    <w:p>
      <w:pPr>
        <w:pStyle w:val="Heading2"/>
      </w:pPr>
      <w:r>
        <w:rPr>
          <w:rFonts w:ascii="Times New Roman" w:hAnsi="Times New Roman"/>
        </w:rPr>
        <w:t>Grundsteuerbescheid Stadt Trier 2026</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Fälligkeit</w:t>
            </w:r>
          </w:p>
        </w:tc>
        <w:tc>
          <w:tcPr>
            <w:tcW w:type="dxa" w:w="1814"/>
          </w:tcPr>
          <w:p>
            <w:r>
              <w:rPr>
                <w:rFonts w:ascii="Times New Roman" w:hAnsi="Times New Roman"/>
                <w:b/>
                <w:sz w:val="20"/>
              </w:rPr>
              <w:t>Betrag (EUR)</w:t>
            </w:r>
          </w:p>
        </w:tc>
        <w:tc>
          <w:tcPr>
            <w:tcW w:type="dxa" w:w="1814"/>
          </w:tcPr>
          <w:p>
            <w:r>
              <w:rPr>
                <w:rFonts w:ascii="Times New Roman" w:hAnsi="Times New Roman"/>
                <w:b/>
                <w:sz w:val="20"/>
              </w:rPr>
              <w:t>Status laut Stadt</w:t>
            </w:r>
          </w:p>
        </w:tc>
        <w:tc>
          <w:tcPr>
            <w:tcW w:type="dxa" w:w="1814"/>
          </w:tcPr>
          <w:p>
            <w:r>
              <w:rPr>
                <w:rFonts w:ascii="Times New Roman" w:hAnsi="Times New Roman"/>
                <w:b/>
                <w:sz w:val="20"/>
              </w:rPr>
              <w:t>Status laut Hausverwaltung</w:t>
            </w:r>
          </w:p>
        </w:tc>
        <w:tc>
          <w:tcPr>
            <w:tcW w:type="dxa" w:w="1814"/>
          </w:tcPr>
          <w:p>
            <w:r>
              <w:rPr>
                <w:rFonts w:ascii="Times New Roman" w:hAnsi="Times New Roman"/>
                <w:b/>
                <w:sz w:val="20"/>
              </w:rPr>
              <w:t>Empfehlung</w:t>
            </w:r>
          </w:p>
        </w:tc>
      </w:tr>
      <w:tr>
        <w:tc>
          <w:tcPr>
            <w:tcW w:type="dxa" w:w="1814"/>
          </w:tcPr>
          <w:p>
            <w:r>
              <w:rPr>
                <w:rFonts w:ascii="Times New Roman" w:hAnsi="Times New Roman"/>
                <w:sz w:val="20"/>
              </w:rPr>
              <w:t>15.02.2026</w:t>
            </w:r>
          </w:p>
        </w:tc>
        <w:tc>
          <w:tcPr>
            <w:tcW w:type="dxa" w:w="1814"/>
          </w:tcPr>
          <w:p>
            <w:r>
              <w:rPr>
                <w:rFonts w:ascii="Times New Roman" w:hAnsi="Times New Roman"/>
                <w:sz w:val="20"/>
              </w:rPr>
              <w:t>4.871,60</w:t>
            </w:r>
          </w:p>
        </w:tc>
        <w:tc>
          <w:tcPr>
            <w:tcW w:type="dxa" w:w="1814"/>
          </w:tcPr>
          <w:p>
            <w:r>
              <w:rPr>
                <w:rFonts w:ascii="Times New Roman" w:hAnsi="Times New Roman"/>
                <w:sz w:val="20"/>
              </w:rPr>
              <w:t>offen</w:t>
            </w:r>
          </w:p>
        </w:tc>
        <w:tc>
          <w:tcPr>
            <w:tcW w:type="dxa" w:w="1814"/>
          </w:tcPr>
          <w:p>
            <w:r>
              <w:rPr>
                <w:rFonts w:ascii="Times New Roman" w:hAnsi="Times New Roman"/>
                <w:sz w:val="20"/>
              </w:rPr>
              <w:t>bezahlt am 13.02.2026 (Überweisung Hausgeldkonto auf Stadtkasse, Verwendungszweck Kassenzeichen)</w:t>
            </w:r>
          </w:p>
        </w:tc>
        <w:tc>
          <w:tcPr>
            <w:tcW w:type="dxa" w:w="1814"/>
          </w:tcPr>
          <w:p>
            <w:r>
              <w:rPr>
                <w:rFonts w:ascii="Times New Roman" w:hAnsi="Times New Roman"/>
                <w:sz w:val="20"/>
              </w:rPr>
              <w:t>klären, ob bereits gebucht; ggf. Buchungsbeleg vorlegen</w:t>
            </w:r>
          </w:p>
        </w:tc>
      </w:tr>
      <w:tr>
        <w:tc>
          <w:tcPr>
            <w:tcW w:type="dxa" w:w="1814"/>
          </w:tcPr>
          <w:p>
            <w:r>
              <w:rPr>
                <w:rFonts w:ascii="Times New Roman" w:hAnsi="Times New Roman"/>
                <w:sz w:val="20"/>
              </w:rPr>
              <w:t>15.05.2026</w:t>
            </w:r>
          </w:p>
        </w:tc>
        <w:tc>
          <w:tcPr>
            <w:tcW w:type="dxa" w:w="1814"/>
          </w:tcPr>
          <w:p>
            <w:r>
              <w:rPr>
                <w:rFonts w:ascii="Times New Roman" w:hAnsi="Times New Roman"/>
                <w:sz w:val="20"/>
              </w:rPr>
              <w:t>4.871,60</w:t>
            </w:r>
          </w:p>
        </w:tc>
        <w:tc>
          <w:tcPr>
            <w:tcW w:type="dxa" w:w="1814"/>
          </w:tcPr>
          <w:p>
            <w:r>
              <w:rPr>
                <w:rFonts w:ascii="Times New Roman" w:hAnsi="Times New Roman"/>
                <w:sz w:val="20"/>
              </w:rPr>
              <w:t>offen</w:t>
            </w:r>
          </w:p>
        </w:tc>
        <w:tc>
          <w:tcPr>
            <w:tcW w:type="dxa" w:w="1814"/>
          </w:tcPr>
          <w:p>
            <w:r>
              <w:rPr>
                <w:rFonts w:ascii="Times New Roman" w:hAnsi="Times New Roman"/>
                <w:sz w:val="20"/>
              </w:rPr>
              <w:t>nicht bezahlt (auf Empfehlung Hausverwaltung)</w:t>
            </w:r>
          </w:p>
        </w:tc>
        <w:tc>
          <w:tcPr>
            <w:tcW w:type="dxa" w:w="1814"/>
          </w:tcPr>
          <w:p>
            <w:r>
              <w:rPr>
                <w:rFonts w:ascii="Times New Roman" w:hAnsi="Times New Roman"/>
                <w:sz w:val="20"/>
              </w:rPr>
              <w:t>unter Vorbehalt zahlen ODER Stundungsantrag stellen</w:t>
            </w:r>
          </w:p>
        </w:tc>
      </w:tr>
      <w:tr>
        <w:tc>
          <w:tcPr>
            <w:tcW w:type="dxa" w:w="1814"/>
          </w:tcPr>
          <w:p>
            <w:r>
              <w:rPr>
                <w:rFonts w:ascii="Times New Roman" w:hAnsi="Times New Roman"/>
                <w:sz w:val="20"/>
              </w:rPr>
              <w:t>15.08.2026</w:t>
            </w:r>
          </w:p>
        </w:tc>
        <w:tc>
          <w:tcPr>
            <w:tcW w:type="dxa" w:w="1814"/>
          </w:tcPr>
          <w:p>
            <w:r>
              <w:rPr>
                <w:rFonts w:ascii="Times New Roman" w:hAnsi="Times New Roman"/>
                <w:sz w:val="20"/>
              </w:rPr>
              <w:t>4.871,60</w:t>
            </w:r>
          </w:p>
        </w:tc>
        <w:tc>
          <w:tcPr>
            <w:tcW w:type="dxa" w:w="1814"/>
          </w:tcPr>
          <w:p>
            <w:r>
              <w:rPr>
                <w:rFonts w:ascii="Times New Roman" w:hAnsi="Times New Roman"/>
                <w:sz w:val="20"/>
              </w:rPr>
              <w:t>künftig</w:t>
            </w:r>
          </w:p>
        </w:tc>
        <w:tc>
          <w:tcPr>
            <w:tcW w:type="dxa" w:w="1814"/>
          </w:tcPr>
          <w:p>
            <w:r>
              <w:rPr>
                <w:rFonts w:ascii="Times New Roman" w:hAnsi="Times New Roman"/>
                <w:sz w:val="20"/>
              </w:rPr>
              <w:t>offen</w:t>
            </w:r>
          </w:p>
        </w:tc>
        <w:tc>
          <w:tcPr>
            <w:tcW w:type="dxa" w:w="1814"/>
          </w:tcPr>
          <w:p>
            <w:r>
              <w:rPr>
                <w:rFonts w:ascii="Times New Roman" w:hAnsi="Times New Roman"/>
                <w:sz w:val="20"/>
              </w:rPr>
              <w:t>Vorfrist 15.07.2026</w:t>
            </w:r>
          </w:p>
        </w:tc>
      </w:tr>
      <w:tr>
        <w:tc>
          <w:tcPr>
            <w:tcW w:type="dxa" w:w="1814"/>
          </w:tcPr>
          <w:p>
            <w:r>
              <w:rPr>
                <w:rFonts w:ascii="Times New Roman" w:hAnsi="Times New Roman"/>
                <w:sz w:val="20"/>
              </w:rPr>
              <w:t>15.11.2026</w:t>
            </w:r>
          </w:p>
        </w:tc>
        <w:tc>
          <w:tcPr>
            <w:tcW w:type="dxa" w:w="1814"/>
          </w:tcPr>
          <w:p>
            <w:r>
              <w:rPr>
                <w:rFonts w:ascii="Times New Roman" w:hAnsi="Times New Roman"/>
                <w:sz w:val="20"/>
              </w:rPr>
              <w:t>4.871,59</w:t>
            </w:r>
          </w:p>
        </w:tc>
        <w:tc>
          <w:tcPr>
            <w:tcW w:type="dxa" w:w="1814"/>
          </w:tcPr>
          <w:p>
            <w:r>
              <w:rPr>
                <w:rFonts w:ascii="Times New Roman" w:hAnsi="Times New Roman"/>
                <w:sz w:val="20"/>
              </w:rPr>
              <w:t>künftig</w:t>
            </w:r>
          </w:p>
        </w:tc>
        <w:tc>
          <w:tcPr>
            <w:tcW w:type="dxa" w:w="1814"/>
          </w:tcPr>
          <w:p>
            <w:r>
              <w:rPr>
                <w:rFonts w:ascii="Times New Roman" w:hAnsi="Times New Roman"/>
                <w:sz w:val="20"/>
              </w:rPr>
              <w:t>offen</w:t>
            </w:r>
          </w:p>
        </w:tc>
        <w:tc>
          <w:tcPr>
            <w:tcW w:type="dxa" w:w="1814"/>
          </w:tcPr>
          <w:p>
            <w:r>
              <w:rPr>
                <w:rFonts w:ascii="Times New Roman" w:hAnsi="Times New Roman"/>
                <w:sz w:val="20"/>
              </w:rPr>
              <w:t>Vorfrist 15.10.2026</w:t>
            </w:r>
          </w:p>
        </w:tc>
      </w:tr>
      <w:tr>
        <w:tc>
          <w:tcPr>
            <w:tcW w:type="dxa" w:w="1814"/>
          </w:tcPr>
          <w:p>
            <w:r>
              <w:rPr>
                <w:rFonts w:ascii="Times New Roman" w:hAnsi="Times New Roman"/>
                <w:b/>
                <w:sz w:val="20"/>
              </w:rPr>
              <w:t>Summe Jahr</w:t>
            </w:r>
          </w:p>
        </w:tc>
        <w:tc>
          <w:tcPr>
            <w:tcW w:type="dxa" w:w="1814"/>
          </w:tcPr>
          <w:p>
            <w:r>
              <w:rPr>
                <w:rFonts w:ascii="Times New Roman" w:hAnsi="Times New Roman"/>
                <w:b/>
                <w:sz w:val="20"/>
              </w:rPr>
              <w:t>19.486,39</w:t>
            </w:r>
          </w:p>
        </w:tc>
        <w:tc>
          <w:tcPr>
            <w:tcW w:type="dxa" w:w="1814"/>
          </w:tcPr>
          <w:p>
            <w:r>
              <w:rPr>
                <w:rFonts w:ascii="Times New Roman" w:hAnsi="Times New Roman"/>
                <w:sz w:val="20"/>
              </w:rPr>
              <w:t>--</w:t>
            </w:r>
          </w:p>
        </w:tc>
        <w:tc>
          <w:tcPr>
            <w:tcW w:type="dxa" w:w="1814"/>
          </w:tcPr>
          <w:p>
            <w:r>
              <w:rPr>
                <w:rFonts w:ascii="Times New Roman" w:hAnsi="Times New Roman"/>
                <w:sz w:val="20"/>
              </w:rPr>
              <w:t>--</w:t>
            </w:r>
          </w:p>
        </w:tc>
        <w:tc>
          <w:tcPr>
            <w:tcW w:type="dxa" w:w="1814"/>
          </w:tcPr>
          <w:p>
            <w:r>
              <w:rPr>
                <w:rFonts w:ascii="Times New Roman" w:hAnsi="Times New Roman"/>
                <w:sz w:val="20"/>
              </w:rPr>
              <w:t>--</w:t>
            </w:r>
          </w:p>
        </w:tc>
      </w:tr>
    </w:tbl>
    <w:p>
      <w:pPr>
        <w:pStyle w:val="Heading2"/>
      </w:pPr>
      <w:r>
        <w:rPr>
          <w:rFonts w:ascii="Times New Roman" w:hAnsi="Times New Roman"/>
        </w:rPr>
        <w:t>Mahnstand bei der Stadt</w:t>
      </w:r>
    </w:p>
    <w:p>
      <w:pPr>
        <w:jc w:val="left"/>
      </w:pPr>
      <w:r>
        <w:t>Stand 23.05.2026: noch keine Mahnung eingegangen. Stadt Trier mahnt typischerweise 14 Tage nach Fälligkeit erstmals (Mahnstufe 1, 5 EUR Mahngebühr), nach 4 Wochen Mahnstufe 2 (10 EUR + Säumniszuschlag 1 % pro angefangenem Monat des rückständigen Steuerbetrags, § 240 AO). Erste Mahnung wäre also etwa 29.05.2026 zu erwarten.</w:t>
      </w:r>
    </w:p>
    <w:p>
      <w:pPr>
        <w:pStyle w:val="Heading2"/>
      </w:pPr>
      <w:r>
        <w:rPr>
          <w:rFonts w:ascii="Times New Roman" w:hAnsi="Times New Roman"/>
        </w:rPr>
        <w:t>Frage 1: Rate Februar 2026 -- bezahlt?</w:t>
      </w:r>
    </w:p>
    <w:p>
      <w:pPr>
        <w:jc w:val="left"/>
      </w:pPr>
      <w:r>
        <w:t>Die Hausverwaltung hat am 13.02.2026 4.871,60 EUR überwiesen, Verwendungszweck "Kassenzeichen 7008-4419-RO14 -- Q1 2026". Im Bescheid vom 13.05.2026 steht jedoch unter "Zahlungseingänge bis Bescheiderlass" 0,00 EUR. Vermutung: Die Stadt hat die Zahlung auf das alte Kassenzeichen 2025 (7008-4419-RO14, identisch) verbucht, weil die Hausverwaltung keine Jahreszuordnung mitgegeben hat. Klärungsbedarf mit Stadtkasse.</w:t>
      </w:r>
    </w:p>
    <w:p>
      <w:pPr>
        <w:pStyle w:val="Heading2"/>
      </w:pPr>
      <w:r>
        <w:rPr>
          <w:rFonts w:ascii="Times New Roman" w:hAnsi="Times New Roman"/>
        </w:rPr>
        <w:t>Frage 2: Gemeindeebene -- Angriffspunkte</w:t>
      </w:r>
    </w:p>
    <w:p>
      <w:pPr>
        <w:jc w:val="left"/>
      </w:pPr>
      <w:r>
        <w:t xml:space="preserve">Die Stadt Trier hat nach derzeitiger Aktenlage den Messbetrag rechnerisch übernommen. Ein Angriff gegen die Gemeinde hilft daher </w:t>
      </w:r>
      <w:r>
        <w:rPr>
          <w:b/>
        </w:rPr>
        <w:t>nur</w:t>
      </w:r>
      <w:r>
        <w:t>, wenn:</w:t>
      </w:r>
    </w:p>
    <w:p>
      <w:pPr>
        <w:pStyle w:val="ListBullet"/>
      </w:pPr>
      <w:r>
        <w:t xml:space="preserve">der </w:t>
      </w:r>
      <w:r>
        <w:rPr>
          <w:b/>
        </w:rPr>
        <w:t>Messbetrag falsch übertragen</w:t>
      </w:r>
      <w:r>
        <w:t xml:space="preserve"> wurde (hier: nicht, rechnerisch korrekt),</w:t>
      </w:r>
    </w:p>
    <w:p>
      <w:pPr>
        <w:pStyle w:val="ListBullet"/>
      </w:pPr>
      <w:r>
        <w:t xml:space="preserve">der </w:t>
      </w:r>
      <w:r>
        <w:rPr>
          <w:b/>
        </w:rPr>
        <w:t>Hebesatzbescheid / die satzungsrechtliche Grundlage fehlerhaft</w:t>
      </w:r>
      <w:r>
        <w:t xml:space="preserve"> ist (hier: Hebesatz 550 % laut Satzung 12.12.2025, formell nicht angegriffen),</w:t>
      </w:r>
    </w:p>
    <w:p>
      <w:pPr>
        <w:pStyle w:val="ListBullet"/>
      </w:pPr>
      <w:r>
        <w:rPr>
          <w:b/>
        </w:rPr>
        <w:t>Zahlungserleichterung</w:t>
      </w:r>
      <w:r>
        <w:t xml:space="preserve"> nötig ist (Stundung, Ratenzahlung, Erlass nach § 222 AO i. V. m. § 4 KAG RP),</w:t>
      </w:r>
    </w:p>
    <w:p>
      <w:pPr>
        <w:pStyle w:val="ListBullet"/>
      </w:pPr>
      <w:r>
        <w:rPr>
          <w:b/>
        </w:rPr>
        <w:t>Eigentümer- oder Kassenzeichenfehler</w:t>
      </w:r>
      <w:r>
        <w:t xml:space="preserve"> bestehen (hier: prüfen, ob die Hausverwaltung als WEG zutreffend angesprochen ist),</w:t>
      </w:r>
    </w:p>
    <w:p>
      <w:pPr>
        <w:pStyle w:val="ListBullet"/>
      </w:pPr>
      <w:r>
        <w:t xml:space="preserve">ein </w:t>
      </w:r>
      <w:r>
        <w:rPr>
          <w:b/>
        </w:rPr>
        <w:t>separater Festsetzungsfehler</w:t>
      </w:r>
      <w:r>
        <w:t xml:space="preserve"> vorliegt (hier: ja -- Grundsteuer A-Anhang, siehe </w:t>
      </w:r>
      <w:r>
        <w:t>08-einspruch-grundsteuer-A-stadt.md</w:t>
      </w:r>
      <w:r>
        <w:t>).</w:t>
      </w:r>
    </w:p>
    <w:p>
      <w:pPr>
        <w:pStyle w:val="Heading2"/>
      </w:pPr>
      <w:r>
        <w:rPr>
          <w:rFonts w:ascii="Times New Roman" w:hAnsi="Times New Roman"/>
        </w:rPr>
        <w:t>Frage 3: Stundungsantrag</w:t>
      </w:r>
    </w:p>
    <w:p>
      <w:pPr>
        <w:jc w:val="left"/>
      </w:pPr>
      <w:r>
        <w:t xml:space="preserve">Wir schlagen vor, parallel zum Einspruch beim FA Trier einen </w:t>
      </w:r>
      <w:r>
        <w:rPr>
          <w:b/>
        </w:rPr>
        <w:t>Stundungs- und Ratenzahlungsantrag</w:t>
      </w:r>
      <w:r>
        <w:t xml:space="preserve"> bei der Stadtkasse Trier zu stellen. Begründung:</w:t>
      </w:r>
    </w:p>
    <w:p>
      <w:pPr>
        <w:pStyle w:val="ListBullet"/>
      </w:pPr>
      <w:r>
        <w:t>Liquiditätsengpass einzelner Eigentümer (Frau Berisha arbeitslos seit 02/2026, ihre MEA-Hausgeldzahlungen sind im Rückstand).</w:t>
      </w:r>
    </w:p>
    <w:p>
      <w:pPr>
        <w:pStyle w:val="ListBullet"/>
      </w:pPr>
      <w:r>
        <w:t>Bewertungsgrundlage angegriffen (Antrag § 222 BewG beim FA), Erfolgsaussichten nicht von vornherein aussichtslos.</w:t>
      </w:r>
    </w:p>
    <w:p>
      <w:pPr>
        <w:pStyle w:val="ListBullet"/>
      </w:pPr>
      <w:r>
        <w:t>Stundungszinsen (1,5 % pro Monat = 18 % p. a., § 234 AO) sind im Vergleich zur Liquiditätssicherung tragbar.</w:t>
      </w:r>
    </w:p>
    <w:p>
      <w:pPr>
        <w:jc w:val="left"/>
      </w:pPr>
      <w:r>
        <w:t xml:space="preserve">Alternative: </w:t>
      </w:r>
      <w:r>
        <w:rPr>
          <w:b/>
        </w:rPr>
        <w:t>Sicherheitsleistung</w:t>
      </w:r>
      <w:r>
        <w:t xml:space="preserve"> (Bankbürgschaft Sparkasse Trier, Kondition 0,6 % p. a.) -- günstiger als Stundungszinsen, wenn das Verfahren länger dauert.</w:t>
      </w:r>
    </w:p>
    <w:p>
      <w:pPr>
        <w:pStyle w:val="Heading2"/>
      </w:pPr>
      <w:r>
        <w:rPr>
          <w:rFonts w:ascii="Times New Roman" w:hAnsi="Times New Roman"/>
        </w:rPr>
        <w:t>Frage 4: AdV-Wirkung auf Gemeindebescheid</w:t>
      </w:r>
    </w:p>
    <w:p>
      <w:pPr>
        <w:jc w:val="left"/>
      </w:pPr>
      <w:r>
        <w:t xml:space="preserve">Wenn das FA Trier dem AdV-Antrag stattgibt, wirkt das </w:t>
      </w:r>
      <w:r>
        <w:rPr>
          <w:b/>
        </w:rPr>
        <w:t>auf die Stadt</w:t>
      </w:r>
      <w:r>
        <w:t xml:space="preserve"> über § 184 AO i. V. m. § 219 BewG. Das heißt: Wenn der Grundsteuerwert / Messbetrag ausgesetzt ist, kann die Stadt den darauf beruhenden Grundsteuerbescheid 2026 nicht vollstrecken. Praktisch muss die Hausverwaltung beim FA den AdV-Bescheid anfordern und ihn an die Stadtkasse weiterleiten.</w:t>
      </w:r>
    </w:p>
    <w:p>
      <w:pPr>
        <w:jc w:val="left"/>
      </w:pPr>
      <w:r>
        <w:rPr>
          <w:b/>
        </w:rPr>
        <w:t>Wichtig:</w:t>
      </w:r>
      <w:r>
        <w:t xml:space="preserve"> Die AdV beim FA wirkt nicht automatisch bei der Stadt. Die Stadt muss aktiv informiert werden und die Vollziehung selbst aussetzen. Erfahrungswert: ca. 14 Tage Bearbeitungszeit.</w:t>
      </w:r>
    </w:p>
    <w:p>
      <w:pPr>
        <w:pStyle w:val="Heading2"/>
      </w:pPr>
      <w:r>
        <w:rPr>
          <w:rFonts w:ascii="Times New Roman" w:hAnsi="Times New Roman"/>
        </w:rPr>
        <w:t>Frage 5: Wenn der Antrag § 222 BewG abgelehnt wird</w:t>
      </w:r>
    </w:p>
    <w:p>
      <w:pPr>
        <w:jc w:val="left"/>
      </w:pPr>
      <w:r>
        <w:t xml:space="preserve">Falls das FA Trier den Änderungsantrag ablehnt, ist gegen die Ablehnung </w:t>
      </w:r>
      <w:r>
        <w:rPr>
          <w:b/>
        </w:rPr>
        <w:t>Einspruch</w:t>
      </w:r>
      <w:r>
        <w:t xml:space="preserve"> zulässig (§ 347 AO, 1 Monat ab Bekanntgabe). Bei Ablehnung des Einspruchs ist </w:t>
      </w:r>
      <w:r>
        <w:rPr>
          <w:b/>
        </w:rPr>
        <w:t>FG-Klage</w:t>
      </w:r>
      <w:r>
        <w:t xml:space="preserve"> möglich (§ 40 FGO). Die FG-Klage wirkt nicht aufschiebend; AdV-Antrag muss bei FA oder FG separat gestellt werden (§ 69 Abs. 3 FGO).</w:t>
      </w:r>
    </w:p>
    <w:p>
      <w:pPr>
        <w:jc w:val="left"/>
      </w:pPr>
      <w:r>
        <w:t>Realistische Verfahrensdauer:</w:t>
      </w:r>
    </w:p>
    <w:p>
      <w:pPr>
        <w:pStyle w:val="ListBullet"/>
      </w:pPr>
      <w:r>
        <w:t>Antrag § 222 BewG bei FA: 2 -- 6 Monate bis zur Entscheidung.</w:t>
      </w:r>
    </w:p>
    <w:p>
      <w:pPr>
        <w:pStyle w:val="ListBullet"/>
      </w:pPr>
      <w:r>
        <w:t>Einspruch gegen Ablehnung: 6 -- 12 Monate bis zur Einspruchsentscheidung.</w:t>
      </w:r>
    </w:p>
    <w:p>
      <w:pPr>
        <w:pStyle w:val="ListBullet"/>
      </w:pPr>
      <w:r>
        <w:t>FG-Verfahren: 12 -- 24 Monate.</w:t>
      </w:r>
    </w:p>
    <w:p>
      <w:pPr>
        <w:pStyle w:val="ListBullet"/>
      </w:pPr>
      <w:r>
        <w:t>Hauptsacheverfahren BFH (falls eingelegt): weitere 18 -- 36 Monate.</w:t>
      </w:r>
    </w:p>
    <w:p>
      <w:pPr>
        <w:jc w:val="left"/>
      </w:pPr>
      <w:r>
        <w:t>Realistisch: Mandantschaft muss mit 3 -- 5 Jahren bis zur abschließenden Klärung rechnen.</w:t>
      </w:r>
    </w:p>
    <w:p>
      <w:pPr>
        <w:pStyle w:val="Heading2"/>
      </w:pPr>
      <w:r>
        <w:rPr>
          <w:rFonts w:ascii="Times New Roman" w:hAnsi="Times New Roman"/>
        </w:rPr>
        <w:t>Vorschlag an Hausverwaltung</w:t>
      </w:r>
    </w:p>
    <w:p>
      <w:pPr>
        <w:pStyle w:val="ListNumber"/>
      </w:pPr>
      <w:r>
        <w:rPr>
          <w:b/>
        </w:rPr>
        <w:t>Sofortige Klärung</w:t>
      </w:r>
      <w:r>
        <w:t xml:space="preserve"> mit Stadtkasse Trier, ob die Februar-Zahlung verbucht ist (Kassenbeleg vorlegen). Mailmuster siehe Anhang.</w:t>
      </w:r>
    </w:p>
    <w:p>
      <w:pPr>
        <w:pStyle w:val="ListNumber"/>
      </w:pPr>
      <w:r>
        <w:rPr>
          <w:b/>
        </w:rPr>
        <w:t>Zahlung der Mai-Rate</w:t>
      </w:r>
      <w:r>
        <w:t xml:space="preserve"> unter ausdrücklichem Vorbehalt der Rückforderung (§ 218 AO). Alternativ: Stundungsantrag, wenn Liquidität knapp.</w:t>
      </w:r>
    </w:p>
    <w:p>
      <w:pPr>
        <w:pStyle w:val="ListNumber"/>
      </w:pPr>
      <w:r>
        <w:rPr>
          <w:b/>
        </w:rPr>
        <w:t>Parallel beim Finanzamt</w:t>
      </w:r>
      <w:r>
        <w:t xml:space="preserve"> Grundlagenfehler angreifen (siehe Schriftsatz </w:t>
      </w:r>
      <w:r>
        <w:t>06-einspruch-adV-entwurf.md</w:t>
      </w:r>
      <w:r>
        <w:t>).</w:t>
      </w:r>
    </w:p>
    <w:p>
      <w:pPr>
        <w:pStyle w:val="ListNumber"/>
      </w:pPr>
      <w:r>
        <w:rPr>
          <w:b/>
        </w:rPr>
        <w:t>Bei Liquiditätsproblem:</w:t>
      </w:r>
      <w:r>
        <w:t xml:space="preserve"> Stundungs-/Ratenzahlungsantrag bei der Stadtkasse beantragen. Antragsmuster siehe Anhang.</w:t>
      </w:r>
    </w:p>
    <w:p>
      <w:pPr>
        <w:pStyle w:val="ListNumber"/>
      </w:pPr>
      <w:r>
        <w:rPr>
          <w:b/>
        </w:rPr>
        <w:t>Eigentümerversammlung 04.06.2026</w:t>
      </w:r>
      <w:r>
        <w:t xml:space="preserve"> informieren, dass "Grundsteuerbescheid Stadt" nicht automatisch die richtige Angriffsebene ist.</w:t>
      </w:r>
    </w:p>
    <w:p>
      <w:pPr>
        <w:pStyle w:val="ListNumber"/>
      </w:pPr>
      <w:r>
        <w:rPr>
          <w:b/>
        </w:rPr>
        <w:t>Einzelne Eigentümer (Krachtburg / verfassungswidrig-Frage)</w:t>
      </w:r>
      <w:r>
        <w:t xml:space="preserve"> mit ruhigem Hinweis informieren, dass Verweigerung der Zahlung individuell-rechtlich zu Mahnungen und Vollstreckung gegen einzelne Eigentümer führen kann.</w:t>
      </w:r>
    </w:p>
    <w:p>
      <w:pPr>
        <w:pStyle w:val="Heading2"/>
      </w:pPr>
      <w:r>
        <w:rPr>
          <w:rFonts w:ascii="Times New Roman" w:hAnsi="Times New Roman"/>
        </w:rPr>
        <w:t>Kurztext für Eigentümerversammlung</w:t>
      </w:r>
    </w:p>
    <w:p>
      <w:pPr>
        <w:ind w:left="567"/>
      </w:pPr>
      <w:r>
        <w:rPr>
          <w:i/>
        </w:rPr>
        <w:t>Die Kanzlei sieht den Schwerpunkt nicht im Hebesatzbescheid der Stadt, sondern in der vom Finanzamt festgestellten Bewertungsgrundlage. Die Zahlungspflicht kann deshalb zunächst bestehen bleiben, obwohl die Bewertung angegriffen wird. Entscheidend ist nun, die Flächen- und Nutzungsfehler sowie den niedrigeren gemeinen Wert mit belastbaren Unterlagen zu belegen. Parallel beantragen wir Stundung der Mai-Rate, bis das FA über die Bewertungsfrage entschieden hat. Es gibt zudem einen separaten Fehler im städtischen Bescheid (Grundsteuer A statt B für die Hoffläche), der gesondert angegriffen wird.</w:t>
      </w:r>
    </w:p>
    <w:p>
      <w:pPr>
        <w:pStyle w:val="Heading2"/>
      </w:pPr>
      <w:r>
        <w:rPr>
          <w:rFonts w:ascii="Times New Roman" w:hAnsi="Times New Roman"/>
        </w:rPr>
        <w:t>Mailmuster an Stadtkasse (Verbuchungsprüfung)</w:t>
      </w:r>
    </w:p>
    <w:p>
      <w:pPr>
        <w:jc w:val="left"/>
      </w:pPr>
      <w:r>
        <w:t>```</w:t>
      </w:r>
    </w:p>
    <w:p>
      <w:pPr>
        <w:jc w:val="left"/>
      </w:pPr>
      <w:r>
        <w:t>Von:    m.kreutzer@rosenwinkel-hausverwaltung.de</w:t>
      </w:r>
    </w:p>
    <w:p>
      <w:pPr>
        <w:jc w:val="left"/>
      </w:pPr>
      <w:r>
        <w:t>An:     stadtkasse@trier.de</w:t>
      </w:r>
    </w:p>
    <w:p>
      <w:pPr>
        <w:jc w:val="left"/>
      </w:pPr>
      <w:r>
        <w:t>Cc:     hauschulz@klotzkette-stb.de</w:t>
      </w:r>
    </w:p>
    <w:p>
      <w:pPr>
        <w:jc w:val="left"/>
      </w:pPr>
      <w:r>
        <w:t>Betreff: Kassenzeichen 7008-4419-RO14 -- Buchung Quartalsrate Februar 2026</w:t>
      </w:r>
    </w:p>
    <w:p>
      <w:pPr>
        <w:jc w:val="left"/>
      </w:pPr>
      <w:r>
        <w:t>```</w:t>
      </w:r>
    </w:p>
    <w:p>
      <w:pPr>
        <w:jc w:val="left"/>
      </w:pPr>
      <w:r>
        <w:t>Sehr geehrte Damen und Herren,</w:t>
      </w:r>
    </w:p>
    <w:p>
      <w:pPr>
        <w:jc w:val="left"/>
      </w:pPr>
      <w:r>
        <w:t>wir bitten um Klärung folgender Buchung: Am 13.02.2026 hat die Rosenwinkel Hausverwaltung GmbH (für die WEG Rosenwinkel 14/16) den Betrag von 4.871,60 EUR auf das Stadtkassenkonto überwiesen (siehe Anlage Buchungsbeleg). Verwendungszweck: "Kassenzeichen 7008-4419-RO14 -- Q1 2026".</w:t>
      </w:r>
    </w:p>
    <w:p>
      <w:pPr>
        <w:jc w:val="left"/>
      </w:pPr>
      <w:r>
        <w:t>Im Grundsteuerbescheid 2026 vom 13.05.2026 wird unter "Zahlungseingänge bis Bescheiderlass" jedoch 0,00 EUR ausgewiesen. Wir bitten um Mitteilung, auf welches Veranlagungsjahr die Zahlung verbucht wurde, und um Bestätigung, dass die Rate Q1 2026 als gezahlt gilt.</w:t>
      </w:r>
    </w:p>
    <w:p>
      <w:pPr>
        <w:jc w:val="left"/>
      </w:pPr>
      <w:r>
        <w:t>Mit freundlichen Grüßen</w:t>
      </w:r>
    </w:p>
    <w:p>
      <w:pPr>
        <w:jc w:val="left"/>
      </w:pPr>
      <w:r>
        <w:t>Mathilde Kreutzer</w:t>
      </w:r>
    </w:p>
    <w:p>
      <w:pPr>
        <w:pStyle w:val="Heading2"/>
      </w:pPr>
      <w:r>
        <w:rPr>
          <w:rFonts w:ascii="Times New Roman" w:hAnsi="Times New Roman"/>
        </w:rPr>
        <w:t>Mailmuster Stundungsantrag</w:t>
      </w:r>
    </w:p>
    <w:p>
      <w:pPr>
        <w:jc w:val="left"/>
      </w:pPr>
      <w:r>
        <w:t>```</w:t>
      </w:r>
    </w:p>
    <w:p>
      <w:pPr>
        <w:jc w:val="left"/>
      </w:pPr>
      <w:r>
        <w:t>An:      stadtkasse@trier.de</w:t>
      </w:r>
    </w:p>
    <w:p>
      <w:pPr>
        <w:jc w:val="left"/>
      </w:pPr>
      <w:r>
        <w:t>Betreff: Stundungsantrag Grundsteuer B 2026 -- Kassenzeichen 7008-4419-RO14</w:t>
      </w:r>
    </w:p>
    <w:p>
      <w:pPr>
        <w:jc w:val="left"/>
      </w:pPr>
      <w:r>
        <w:t>```</w:t>
      </w:r>
    </w:p>
    <w:p>
      <w:pPr>
        <w:jc w:val="left"/>
      </w:pPr>
      <w:r>
        <w:t>Sehr geehrte Damen und Herren,</w:t>
      </w:r>
    </w:p>
    <w:p>
      <w:pPr>
        <w:jc w:val="left"/>
      </w:pPr>
      <w:r>
        <w:t xml:space="preserve">namens der WEG Rosenwinkel 14/16 (Kassenzeichen 7008-4419-RO14) beantragen wir die </w:t>
      </w:r>
      <w:r>
        <w:rPr>
          <w:b/>
        </w:rPr>
        <w:t>Stundung der zweiten Quartalsrate der Grundsteuer 2026</w:t>
      </w:r>
      <w:r>
        <w:t xml:space="preserve"> in Höhe von 4.871,60 EUR (Fälligkeit 15.05.2026) bis zur Entscheidung des Finanzamts Trier über den parallel anhängigen Antrag auf fehlerberichtigende Fortschreibung des Grundsteuerwerts (eingereicht am [Datum]).</w:t>
      </w:r>
    </w:p>
    <w:p>
      <w:pPr>
        <w:jc w:val="left"/>
      </w:pPr>
      <w:r>
        <w:t>Begründung: Die Bewertungsgrundlage des städtischen Bescheids ist beim Finanzamt Trier wegen erheblicher Flächen-, Nutzungs- und Bodenrichtwert-Fehler im Änderungsverfahren. Die Erfolgsaussichten sind nach unserer Bewertung nicht von vornherein aussichtslos. Ein Liquiditätsengpass einzelner Eigentümer verstärkt die Begründung.</w:t>
      </w:r>
    </w:p>
    <w:p>
      <w:pPr>
        <w:jc w:val="left"/>
      </w:pPr>
      <w:r>
        <w:t>Wir bieten Sicherheitsleistung über eine Bankbürgschaft der Sparkasse Trier in Höhe der gestundeten Beträge an.</w:t>
      </w:r>
    </w:p>
    <w:p>
      <w:pPr>
        <w:jc w:val="left"/>
      </w:pPr>
      <w:r>
        <w:t>Mit freundlichen Grüßen</w:t>
      </w:r>
    </w:p>
    <w:p>
      <w:pPr>
        <w:jc w:val="left"/>
      </w:pPr>
      <w:r>
        <w:t>RAin Brigitte Hauschulz-Müller</w:t>
      </w:r>
    </w:p>
    <w:p>
      <w:pPr>
        <w:jc w:val="left"/>
      </w:pPr>
      <w:r>
        <w:t>für die WEG Rosenwinkel 14/16</w:t>
      </w:r>
    </w:p>
    <w:p>
      <w:pPr>
        <w:jc w:val="left"/>
      </w:pPr>
      <w:r>
        <w:t>```</w:t>
      </w:r>
    </w:p>
    <w:p>
      <w:pPr>
        <w:pStyle w:val="Heading2"/>
      </w:pPr>
      <w:r>
        <w:rPr>
          <w:rFonts w:ascii="Times New Roman" w:hAnsi="Times New Roman"/>
        </w:rPr>
        <w:t>Hinweis Liquidität</w:t>
      </w:r>
    </w:p>
    <w:p>
      <w:pPr>
        <w:jc w:val="left"/>
      </w:pPr>
      <w:r>
        <w:t>Bei Stundungszinsen von 1,5 % pro Monat (§ 234 AO) auf 4.871,60 EUR ergibt sich ein Zinslauf von ca. 73 EUR pro Monat. Über 12 Monate Stundung ergibt das ca. 880 EUR -- in Anbetracht der jährlichen Ersparnis (bei Erfolg ca. 6.120 EUR p. a.) und Verfahrensdauer 3 -- 5 Jahre wirtschaftlich tragbar.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Zahlungs- und Gemeindevermerk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Zahlungs- und Gemeindevermerk</w:t>
    </w:r>
  </w:p>
  <w:p>
    <w:pPr>
      <w:jc w:val="left"/>
      <w:pBdr>
        <w:bottom w:val="single" w:sz="6" w:space="2" w:color="3B3F45"/>
      </w:pBdr>
    </w:pPr>
    <w:r>
      <w:rPr>
        <w:rFonts w:ascii="Times New Roman" w:hAnsi="Times New Roman"/>
        <w:color w:val="6B6B66"/>
        <w:sz w:val="16"/>
      </w:rPr>
      <w:t>Behörde · Aktenzeichen Kanzlei: KGK 2026-118 / Rosenwink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