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Eigentümerbrief und Vorlage Eigentümerversammlung</w:t>
      </w:r>
    </w:p>
    <w:p>
      <w:pPr>
        <w:jc w:val="left"/>
      </w:pPr>
      <w:r>
        <w:rPr>
          <w:b/>
        </w:rPr>
        <w:t>Absender:</w:t>
      </w:r>
      <w:r>
        <w:t xml:space="preserve"> Rosenwinkel Hausverwaltung GmbH, M. Kreutzer</w:t>
      </w:r>
    </w:p>
    <w:p>
      <w:pPr>
        <w:jc w:val="left"/>
      </w:pPr>
      <w:r>
        <w:rPr>
          <w:b/>
        </w:rPr>
        <w:t>Empfänger:</w:t>
      </w:r>
      <w:r>
        <w:t xml:space="preserve"> Eigentümer der WEG Rosenwinkel 14/16</w:t>
      </w:r>
    </w:p>
    <w:p>
      <w:pPr>
        <w:jc w:val="left"/>
      </w:pPr>
      <w:r>
        <w:rPr>
          <w:b/>
        </w:rPr>
        <w:t>Datum:</w:t>
      </w:r>
      <w:r>
        <w:t xml:space="preserve"> 28.05.2026 (Postlauf)</w:t>
      </w:r>
    </w:p>
    <w:p>
      <w:pPr>
        <w:jc w:val="left"/>
      </w:pPr>
      <w:r>
        <w:rPr>
          <w:b/>
        </w:rPr>
        <w:t>Anlage:</w:t>
      </w:r>
      <w:r>
        <w:t xml:space="preserve"> Tagesordnung Eigentümerversammlung 04.06.2026</w:t>
      </w:r>
    </w:p>
    <w:p>
      <w:pPr>
        <w:pStyle w:val="Heading2"/>
      </w:pPr>
      <w:r>
        <w:rPr>
          <w:rFonts w:ascii="Times New Roman" w:hAnsi="Times New Roman"/>
        </w:rPr>
        <w:t>Eigentümerbrief (Begleitschreiben)</w:t>
      </w:r>
    </w:p>
    <w:p>
      <w:pPr>
        <w:jc w:val="left"/>
      </w:pPr>
      <w:r>
        <w:t>Sehr geehrte Damen und Herren,</w:t>
      </w:r>
    </w:p>
    <w:p>
      <w:pPr>
        <w:jc w:val="left"/>
      </w:pPr>
      <w:r>
        <w:t xml:space="preserve">wir laden Sie zur </w:t>
      </w:r>
      <w:r>
        <w:rPr>
          <w:b/>
        </w:rPr>
        <w:t>außerordentlichen Eigentümerversammlung</w:t>
      </w:r>
      <w:r>
        <w:t xml:space="preserve"> am </w:t>
      </w:r>
      <w:r>
        <w:rPr>
          <w:b/>
        </w:rPr>
        <w:t>04.06.2026, 19:00 Uhr</w:t>
      </w:r>
      <w:r>
        <w:t xml:space="preserve"> in den Räumen der Hausverwaltung (Brückenstraße 19, 54290 Trier) ein. Wegen der Bedeutung der nachfolgend genannten Beschlussfassungen halten wir Ihre persönliche Teilnahme oder eine schriftliche Vertretungsvollmacht für unbedingt geboten.</w:t>
      </w:r>
    </w:p>
    <w:p>
      <w:pPr>
        <w:jc w:val="left"/>
      </w:pPr>
      <w:r>
        <w:rPr>
          <w:b/>
        </w:rPr>
        <w:t>Anlass</w:t>
      </w:r>
      <w:r>
        <w:t xml:space="preserve"> ist der städtische Grundsteuerbescheid 2026 vom 13.05.2026 mit einem Jahresbetrag von </w:t>
      </w:r>
      <w:r>
        <w:rPr>
          <w:b/>
        </w:rPr>
        <w:t>19.486,39 EUR</w:t>
      </w:r>
      <w:r>
        <w:t xml:space="preserve"> -- eine erhebliche Steigerung gegenüber dem Vorjahr (rund 8.900 EUR). Die Hausverwaltung hat die Kanzlei Klotzkette Steuerrecht (Frau RAin Hauschulz-Müller) mit der Prüfung beauftragt; eine erste anwaltliche Einschätzung liegt vor.</w:t>
      </w:r>
    </w:p>
    <w:p>
      <w:pPr>
        <w:jc w:val="left"/>
      </w:pPr>
      <w:r>
        <w:t xml:space="preserve">Bitte beachten Sie, dass die zweite Quartalsrate (Fälligkeit 15.05.2026, 4.871,60 EUR) </w:t>
      </w:r>
      <w:r>
        <w:rPr>
          <w:b/>
        </w:rPr>
        <w:t>noch nicht gezahlt</w:t>
      </w:r>
      <w:r>
        <w:t xml:space="preserve"> wurde, weil wir das Vorgehen mit der Anwaltschaft zuerst abstimmen wollten. Eine Mahnung der Stadt Trier ist daher nicht ausgeschlossen.</w:t>
      </w:r>
    </w:p>
    <w:p>
      <w:pPr>
        <w:jc w:val="left"/>
      </w:pPr>
      <w:r>
        <w:t xml:space="preserve">Wir bitten um Verständnis, dass die Sache zeitkritisch ist. Die Einspruchsfrist gegenüber dem Bescheid der Stadt endet am </w:t>
      </w:r>
      <w:r>
        <w:rPr>
          <w:b/>
        </w:rPr>
        <w:t>15.06.2026</w:t>
      </w:r>
      <w:r>
        <w:t>.</w:t>
      </w:r>
    </w:p>
    <w:p>
      <w:pPr>
        <w:jc w:val="left"/>
      </w:pPr>
      <w:r>
        <w:t>Mit freundlichen Grüßen</w:t>
      </w:r>
    </w:p>
    <w:p>
      <w:pPr>
        <w:jc w:val="left"/>
      </w:pPr>
      <w:r>
        <w:t>Mathilde Kreutzer</w:t>
      </w:r>
    </w:p>
    <w:p>
      <w:pPr>
        <w:jc w:val="left"/>
      </w:pPr>
      <w:r>
        <w:t>Geschäftsführerin Rosenwinkel Hausverwaltung GmbH</w:t>
      </w:r>
    </w:p>
    <w:p>
      <w:pPr>
        <w:pStyle w:val="Heading2"/>
      </w:pPr>
      <w:r>
        <w:rPr>
          <w:rFonts w:ascii="Times New Roman" w:hAnsi="Times New Roman"/>
        </w:rPr>
        <w:t>Tagesordnung Eigentümerversammlung 04.06.2026</w:t>
      </w:r>
    </w:p>
    <w:p>
      <w:pPr>
        <w:pStyle w:val="ListNumber"/>
      </w:pPr>
      <w:r>
        <w:t>Begrüßung, Feststellung der Beschlussfähigkeit.</w:t>
      </w:r>
    </w:p>
    <w:p>
      <w:pPr>
        <w:pStyle w:val="ListNumber"/>
      </w:pPr>
      <w:r>
        <w:rPr>
          <w:b/>
        </w:rPr>
        <w:t>Information durch die Kanzlei Klotzkette Steuerrecht</w:t>
      </w:r>
      <w:r>
        <w:t xml:space="preserve"> (RAin Hauschulz-Müller, ca. 30 Minuten) zur Grundsteuerbescheidkette und den Verfahrensoptionen.</w:t>
      </w:r>
    </w:p>
    <w:p>
      <w:pPr>
        <w:pStyle w:val="ListNumber"/>
      </w:pPr>
      <w:r>
        <w:rPr>
          <w:b/>
        </w:rPr>
        <w:t>Beschluss 1:</w:t>
      </w:r>
      <w:r>
        <w:t xml:space="preserve"> Mandatierung der Kanzlei mit Einspruch / Änderungsantrag beim Finanzamt Trier und Einspruch gegen Grundsteuer-A-Anhang beim Steueramt Stadt Trier.</w:t>
      </w:r>
    </w:p>
    <w:p>
      <w:pPr>
        <w:pStyle w:val="ListNumber"/>
      </w:pPr>
      <w:r>
        <w:rPr>
          <w:b/>
        </w:rPr>
        <w:t>Beschluss 2:</w:t>
      </w:r>
      <w:r>
        <w:t xml:space="preserve"> Beauftragung eines Verkehrswertgutachtens beim Sachverständigen Dr. Tannenfels &amp; Partner, Trier (Kostenrahmen 4.500 -- 6.500 EUR), wenn die Bodenrichtwertauskunft vom Gutachterausschuss eine deutliche Abweichung ergibt.</w:t>
      </w:r>
    </w:p>
    <w:p>
      <w:pPr>
        <w:pStyle w:val="ListNumber"/>
      </w:pPr>
      <w:r>
        <w:rPr>
          <w:b/>
        </w:rPr>
        <w:t>Beschluss 3:</w:t>
      </w:r>
      <w:r>
        <w:t xml:space="preserve"> Beauftragung der Architektin Wiegand mit aktualisierter Flächenbestätigung (800 -- 1.200 EUR).</w:t>
      </w:r>
    </w:p>
    <w:p>
      <w:pPr>
        <w:pStyle w:val="ListNumber"/>
      </w:pPr>
      <w:r>
        <w:rPr>
          <w:b/>
        </w:rPr>
        <w:t>Beschluss 4:</w:t>
      </w:r>
      <w:r>
        <w:t xml:space="preserve"> Stundungs- bzw. Ratenzahlungsantrag bei der Stadtkasse Trier; Bestellung einer Bankbürgschaft Sparkasse Trier als Sicherheitsleistung (Kosten ca. 0,6 % p. a. auf gestundete Beträge).</w:t>
      </w:r>
    </w:p>
    <w:p>
      <w:pPr>
        <w:pStyle w:val="ListNumber"/>
      </w:pPr>
      <w:r>
        <w:rPr>
          <w:b/>
        </w:rPr>
        <w:t>Beschluss 5:</w:t>
      </w:r>
      <w:r>
        <w:t xml:space="preserve"> Verteilung der Anwalts-, Gutachter- und Sicherheitsleistungskosten auf die Eigentümer nach MEA-Anteilen (§ 16 Abs. 2 WEG).</w:t>
      </w:r>
    </w:p>
    <w:p>
      <w:pPr>
        <w:pStyle w:val="ListNumber"/>
      </w:pPr>
      <w:r>
        <w:t>Diskussion: Sondersituation Frau Krachtburg und die Frage Verfassungswidrigkeit.</w:t>
      </w:r>
    </w:p>
    <w:p>
      <w:pPr>
        <w:pStyle w:val="ListNumber"/>
      </w:pPr>
      <w:r>
        <w:t>Sonstiges.</w:t>
      </w:r>
    </w:p>
    <w:p>
      <w:pPr>
        <w:pStyle w:val="Heading2"/>
      </w:pPr>
      <w:r>
        <w:rPr>
          <w:rFonts w:ascii="Times New Roman" w:hAnsi="Times New Roman"/>
        </w:rPr>
        <w:t>Anwaltliche Kurzinformation (zur Beschlussvorbereitung)</w:t>
      </w:r>
    </w:p>
    <w:p>
      <w:pPr>
        <w:pStyle w:val="Heading3"/>
      </w:pPr>
      <w:r>
        <w:rPr>
          <w:rFonts w:ascii="Times New Roman" w:hAnsi="Times New Roman"/>
        </w:rPr>
        <w:t>Wo ist der Fehler?</w:t>
      </w:r>
    </w:p>
    <w:p>
      <w:pPr>
        <w:pStyle w:val="ListBullet"/>
      </w:pPr>
      <w:r>
        <w:t xml:space="preserve">Die Stadt Trier hat den Messbetrag des Finanzamts korrekt übernommen (3.542,98 EUR), mit dem städtischen Hebesatz (550 %) multipliziert (= 19.486,39 EUR). Die Stadt hat hier </w:t>
      </w:r>
      <w:r>
        <w:rPr>
          <w:b/>
        </w:rPr>
        <w:t>keinen</w:t>
      </w:r>
      <w:r>
        <w:t xml:space="preserve"> Rechenfehler.</w:t>
      </w:r>
    </w:p>
    <w:p>
      <w:pPr>
        <w:pStyle w:val="ListBullet"/>
      </w:pPr>
      <w:r>
        <w:t xml:space="preserve">Der </w:t>
      </w:r>
      <w:r>
        <w:rPr>
          <w:b/>
        </w:rPr>
        <w:t>Fehler liegt beim Finanzamt Trier</w:t>
      </w:r>
      <w:r>
        <w:t>: Die Bewertungsgrundlagen für das Grundstück enthalten erhebliche Flächen- und Nutzungsfehler. Wir haben den Verdacht, dass die Erklärung von 2023 -- die noch von der alten Hausverwaltungssoftware vorbereitet wurde -- die Werkstattflächen, Kellerflächen und Dachgeschossflächen falsch eingeordnet hat.</w:t>
      </w:r>
    </w:p>
    <w:p>
      <w:pPr>
        <w:pStyle w:val="ListBullet"/>
      </w:pPr>
      <w:r>
        <w:t xml:space="preserve">Zusätzlich gibt es einen </w:t>
      </w:r>
      <w:r>
        <w:rPr>
          <w:b/>
        </w:rPr>
        <w:t>separaten Fehler</w:t>
      </w:r>
      <w:r>
        <w:t xml:space="preserve">: Die Stadt Trier hat im Anhang des Bescheids eine </w:t>
      </w:r>
      <w:r>
        <w:rPr>
          <w:b/>
        </w:rPr>
        <w:t>Grundsteuer A</w:t>
      </w:r>
      <w:r>
        <w:t xml:space="preserve"> für die Hoffläche festgesetzt, obwohl das Objekt </w:t>
      </w:r>
      <w:r>
        <w:rPr>
          <w:b/>
        </w:rPr>
        <w:t>kein landwirtschaftlicher Betrieb</w:t>
      </w:r>
      <w:r>
        <w:t xml:space="preserve"> ist. Diese Festsetzung greifen wir separat an.</w:t>
      </w:r>
    </w:p>
    <w:p>
      <w:pPr>
        <w:pStyle w:val="Heading3"/>
      </w:pPr>
      <w:r>
        <w:rPr>
          <w:rFonts w:ascii="Times New Roman" w:hAnsi="Times New Roman"/>
        </w:rPr>
        <w:t>Erfolgsaussichten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Erfolgsaussicht</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Änderungsantrag beim FA wegen Flächenfehler</w:t>
            </w:r>
          </w:p>
        </w:tc>
        <w:tc>
          <w:tcPr>
            <w:tcW w:type="dxa" w:w="3024"/>
          </w:tcPr>
          <w:p>
            <w:r>
              <w:rPr>
                <w:rFonts w:ascii="Times New Roman" w:hAnsi="Times New Roman"/>
                <w:b/>
                <w:sz w:val="20"/>
              </w:rPr>
              <w:t>gut</w:t>
            </w:r>
          </w:p>
        </w:tc>
        <w:tc>
          <w:tcPr>
            <w:tcW w:type="dxa" w:w="3024"/>
          </w:tcPr>
          <w:p>
            <w:r>
              <w:rPr>
                <w:rFonts w:ascii="Times New Roman" w:hAnsi="Times New Roman"/>
                <w:sz w:val="20"/>
              </w:rPr>
              <w:t>Belege liegen vor (Aufmaß Architektin, Bauschadensbericht, Bauaufsichtsschreiben)</w:t>
            </w:r>
          </w:p>
        </w:tc>
      </w:tr>
      <w:tr>
        <w:tc>
          <w:tcPr>
            <w:tcW w:type="dxa" w:w="3024"/>
          </w:tcPr>
          <w:p>
            <w:r>
              <w:rPr>
                <w:rFonts w:ascii="Times New Roman" w:hAnsi="Times New Roman"/>
                <w:sz w:val="20"/>
              </w:rPr>
              <w:t>Änderungsantrag wegen Bodenrichtwert</w:t>
            </w:r>
          </w:p>
        </w:tc>
        <w:tc>
          <w:tcPr>
            <w:tcW w:type="dxa" w:w="3024"/>
          </w:tcPr>
          <w:p>
            <w:r>
              <w:rPr>
                <w:rFonts w:ascii="Times New Roman" w:hAnsi="Times New Roman"/>
                <w:b/>
                <w:sz w:val="20"/>
              </w:rPr>
              <w:t>mittel</w:t>
            </w:r>
          </w:p>
        </w:tc>
        <w:tc>
          <w:tcPr>
            <w:tcW w:type="dxa" w:w="3024"/>
          </w:tcPr>
          <w:p>
            <w:r>
              <w:rPr>
                <w:rFonts w:ascii="Times New Roman" w:hAnsi="Times New Roman"/>
                <w:sz w:val="20"/>
              </w:rPr>
              <w:t>hängt von amtlicher Auskunft des Gutachterausschusses ab</w:t>
            </w:r>
          </w:p>
        </w:tc>
      </w:tr>
      <w:tr>
        <w:tc>
          <w:tcPr>
            <w:tcW w:type="dxa" w:w="3024"/>
          </w:tcPr>
          <w:p>
            <w:r>
              <w:rPr>
                <w:rFonts w:ascii="Times New Roman" w:hAnsi="Times New Roman"/>
                <w:sz w:val="20"/>
              </w:rPr>
              <w:t>Nachweis niedrigerer gemeiner Wert</w:t>
            </w:r>
          </w:p>
        </w:tc>
        <w:tc>
          <w:tcPr>
            <w:tcW w:type="dxa" w:w="3024"/>
          </w:tcPr>
          <w:p>
            <w:r>
              <w:rPr>
                <w:rFonts w:ascii="Times New Roman" w:hAnsi="Times New Roman"/>
                <w:b/>
                <w:sz w:val="20"/>
              </w:rPr>
              <w:t>mittel bis gut</w:t>
            </w:r>
          </w:p>
        </w:tc>
        <w:tc>
          <w:tcPr>
            <w:tcW w:type="dxa" w:w="3024"/>
          </w:tcPr>
          <w:p>
            <w:r>
              <w:rPr>
                <w:rFonts w:ascii="Times New Roman" w:hAnsi="Times New Roman"/>
                <w:sz w:val="20"/>
              </w:rPr>
              <w:t>Indizien für Verkehrswert 2,15 -- 2,35 Mio. EUR; ca. 31,5 % Abweichung</w:t>
            </w:r>
          </w:p>
        </w:tc>
      </w:tr>
      <w:tr>
        <w:tc>
          <w:tcPr>
            <w:tcW w:type="dxa" w:w="3024"/>
          </w:tcPr>
          <w:p>
            <w:r>
              <w:rPr>
                <w:rFonts w:ascii="Times New Roman" w:hAnsi="Times New Roman"/>
                <w:sz w:val="20"/>
              </w:rPr>
              <w:t>AdV-Antrag beim FA</w:t>
            </w:r>
          </w:p>
        </w:tc>
        <w:tc>
          <w:tcPr>
            <w:tcW w:type="dxa" w:w="3024"/>
          </w:tcPr>
          <w:p>
            <w:r>
              <w:rPr>
                <w:rFonts w:ascii="Times New Roman" w:hAnsi="Times New Roman"/>
                <w:b/>
                <w:sz w:val="20"/>
              </w:rPr>
              <w:t>gut</w:t>
            </w:r>
          </w:p>
        </w:tc>
        <w:tc>
          <w:tcPr>
            <w:tcW w:type="dxa" w:w="3024"/>
          </w:tcPr>
          <w:p>
            <w:r>
              <w:rPr>
                <w:rFonts w:ascii="Times New Roman" w:hAnsi="Times New Roman"/>
                <w:sz w:val="20"/>
              </w:rPr>
              <w:t>bei ernstlichen Zweifeln nach BFH-Praxis bei Massenbewertung</w:t>
            </w:r>
          </w:p>
        </w:tc>
      </w:tr>
      <w:tr>
        <w:tc>
          <w:tcPr>
            <w:tcW w:type="dxa" w:w="3024"/>
          </w:tcPr>
          <w:p>
            <w:r>
              <w:rPr>
                <w:rFonts w:ascii="Times New Roman" w:hAnsi="Times New Roman"/>
                <w:sz w:val="20"/>
              </w:rPr>
              <w:t>Einspruch Grundsteuer A bei Stadt</w:t>
            </w:r>
          </w:p>
        </w:tc>
        <w:tc>
          <w:tcPr>
            <w:tcW w:type="dxa" w:w="3024"/>
          </w:tcPr>
          <w:p>
            <w:r>
              <w:rPr>
                <w:rFonts w:ascii="Times New Roman" w:hAnsi="Times New Roman"/>
                <w:b/>
                <w:sz w:val="20"/>
              </w:rPr>
              <w:t>sehr gut</w:t>
            </w:r>
          </w:p>
        </w:tc>
        <w:tc>
          <w:tcPr>
            <w:tcW w:type="dxa" w:w="3024"/>
          </w:tcPr>
          <w:p>
            <w:r>
              <w:rPr>
                <w:rFonts w:ascii="Times New Roman" w:hAnsi="Times New Roman"/>
                <w:sz w:val="20"/>
              </w:rPr>
              <w:t>keine landwirtschaftliche Nutzung; offenbarer Fehler</w:t>
            </w:r>
          </w:p>
        </w:tc>
      </w:tr>
      <w:tr>
        <w:tc>
          <w:tcPr>
            <w:tcW w:type="dxa" w:w="3024"/>
          </w:tcPr>
          <w:p>
            <w:r>
              <w:rPr>
                <w:rFonts w:ascii="Times New Roman" w:hAnsi="Times New Roman"/>
                <w:sz w:val="20"/>
              </w:rPr>
              <w:t>Stundungsantrag Mai-Rate</w:t>
            </w:r>
          </w:p>
        </w:tc>
        <w:tc>
          <w:tcPr>
            <w:tcW w:type="dxa" w:w="3024"/>
          </w:tcPr>
          <w:p>
            <w:r>
              <w:rPr>
                <w:rFonts w:ascii="Times New Roman" w:hAnsi="Times New Roman"/>
                <w:b/>
                <w:sz w:val="20"/>
              </w:rPr>
              <w:t>gut</w:t>
            </w:r>
          </w:p>
        </w:tc>
        <w:tc>
          <w:tcPr>
            <w:tcW w:type="dxa" w:w="3024"/>
          </w:tcPr>
          <w:p>
            <w:r>
              <w:rPr>
                <w:rFonts w:ascii="Times New Roman" w:hAnsi="Times New Roman"/>
                <w:sz w:val="20"/>
              </w:rPr>
              <w:t>bei begründeter Bewertungsfrage und Liquiditätsengpass</w:t>
            </w:r>
          </w:p>
        </w:tc>
      </w:tr>
    </w:tbl>
    <w:p>
      <w:pPr>
        <w:pStyle w:val="Heading3"/>
      </w:pPr>
      <w:r>
        <w:rPr>
          <w:rFonts w:ascii="Times New Roman" w:hAnsi="Times New Roman"/>
        </w:rPr>
        <w:t>Zeitschiene</w:t>
      </w:r>
    </w:p>
    <w:p>
      <w:pPr>
        <w:pStyle w:val="ListBullet"/>
      </w:pPr>
      <w:r>
        <w:rPr>
          <w:b/>
        </w:rPr>
        <w:t>Bis 02.06.2026:</w:t>
      </w:r>
      <w:r>
        <w:t xml:space="preserve"> Bodenrichtwertauskunft vom Gutachterausschuss erwartet.</w:t>
      </w:r>
    </w:p>
    <w:p>
      <w:pPr>
        <w:pStyle w:val="ListBullet"/>
      </w:pPr>
      <w:r>
        <w:rPr>
          <w:b/>
        </w:rPr>
        <w:t>Bis 04.06.2026:</w:t>
      </w:r>
      <w:r>
        <w:t xml:space="preserve"> Eigentümerbeschluss zum weiteren Vorgehen.</w:t>
      </w:r>
    </w:p>
    <w:p>
      <w:pPr>
        <w:pStyle w:val="ListBullet"/>
      </w:pPr>
      <w:r>
        <w:rPr>
          <w:b/>
        </w:rPr>
        <w:t>Bis 14.06.2026:</w:t>
      </w:r>
      <w:r>
        <w:t xml:space="preserve"> Einreichung Schriftsätze beim FA Trier und Stadt Trier; AdV-Antrag.</w:t>
      </w:r>
    </w:p>
    <w:p>
      <w:pPr>
        <w:pStyle w:val="ListBullet"/>
      </w:pPr>
      <w:r>
        <w:rPr>
          <w:b/>
        </w:rPr>
        <w:t>Bis 30.06.2026:</w:t>
      </w:r>
      <w:r>
        <w:t xml:space="preserve"> Bestellung Verkehrswertgutachten (wenn beschlossen).</w:t>
      </w:r>
    </w:p>
    <w:p>
      <w:pPr>
        <w:pStyle w:val="ListBullet"/>
      </w:pPr>
      <w:r>
        <w:rPr>
          <w:b/>
        </w:rPr>
        <w:t>Q3/2026:</w:t>
      </w:r>
      <w:r>
        <w:t xml:space="preserve"> Gutachten liegt vor, Schriftsatz wird ergänzt.</w:t>
      </w:r>
    </w:p>
    <w:p>
      <w:pPr>
        <w:pStyle w:val="ListBullet"/>
      </w:pPr>
      <w:r>
        <w:rPr>
          <w:b/>
        </w:rPr>
        <w:t>Q4/2026 -- Q2/2027:</w:t>
      </w:r>
      <w:r>
        <w:t xml:space="preserve"> Entscheidung des FA über Änderungsantrag.</w:t>
      </w:r>
    </w:p>
    <w:p>
      <w:pPr>
        <w:pStyle w:val="ListBullet"/>
      </w:pPr>
      <w:r>
        <w:rPr>
          <w:b/>
        </w:rPr>
        <w:t>Bei Ablehnung:</w:t>
      </w:r>
      <w:r>
        <w:t xml:space="preserve"> Einspruch, dann ggf. FG-Klage.</w:t>
      </w:r>
    </w:p>
    <w:p>
      <w:pPr>
        <w:pStyle w:val="Heading3"/>
      </w:pPr>
      <w:r>
        <w:rPr>
          <w:rFonts w:ascii="Times New Roman" w:hAnsi="Times New Roman"/>
        </w:rPr>
        <w:t>Realistisches Ergebnis</w:t>
      </w:r>
    </w:p>
    <w:p>
      <w:pPr>
        <w:jc w:val="left"/>
      </w:pPr>
      <w:r>
        <w:t xml:space="preserve">Bei Erfolg des Hauptantrags erwartete Reduktion des Grundsteuerwerts von 3.284.000 EUR auf etwa </w:t>
      </w:r>
      <w:r>
        <w:rPr>
          <w:b/>
        </w:rPr>
        <w:t>2.250.000 EUR</w:t>
      </w:r>
      <w:r>
        <w:t xml:space="preserve">. Das ergibt eine Reduktion der Jahres-Grundsteuer von 19.486,39 EUR auf ca. </w:t>
      </w:r>
      <w:r>
        <w:rPr>
          <w:b/>
        </w:rPr>
        <w:t>13.365 EUR</w:t>
      </w:r>
      <w:r>
        <w:t xml:space="preserve"> -- ein Plus von rund </w:t>
      </w:r>
      <w:r>
        <w:rPr>
          <w:b/>
        </w:rPr>
        <w:t>6.120 EUR pro Jahr</w:t>
      </w:r>
      <w:r>
        <w:t xml:space="preserve"> im Vergleich zum aktuellen Bescheid. Über 10 Jahre 61.200 EUR; über die Restlaufzeit zur nächsten Hauptfeststellung (bis 31.12.2028 maximal) immerhin ca. 18.000 EUR.</w:t>
      </w:r>
    </w:p>
    <w:p>
      <w:pPr>
        <w:pStyle w:val="Heading3"/>
      </w:pPr>
      <w:r>
        <w:rPr>
          <w:rFonts w:ascii="Times New Roman" w:hAnsi="Times New Roman"/>
        </w:rPr>
        <w:t>Kosten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Kosten netto</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Anwaltliche Vertretung Einspruchsverfahren (FA + Stadt)</w:t>
            </w:r>
          </w:p>
        </w:tc>
        <w:tc>
          <w:tcPr>
            <w:tcW w:type="dxa" w:w="3024"/>
          </w:tcPr>
          <w:p>
            <w:r>
              <w:rPr>
                <w:rFonts w:ascii="Times New Roman" w:hAnsi="Times New Roman"/>
                <w:sz w:val="20"/>
              </w:rPr>
              <w:t>2.800 -- 3.500 EUR</w:t>
            </w:r>
          </w:p>
        </w:tc>
        <w:tc>
          <w:tcPr>
            <w:tcW w:type="dxa" w:w="3024"/>
          </w:tcPr>
          <w:p>
            <w:r>
              <w:rPr>
                <w:rFonts w:ascii="Times New Roman" w:hAnsi="Times New Roman"/>
                <w:sz w:val="20"/>
              </w:rPr>
              <w:t>RVG, Geschäftsgebühr Nr. 2300 VV-RVG, mittlere Schwierigkeit</w:t>
            </w:r>
          </w:p>
        </w:tc>
      </w:tr>
      <w:tr>
        <w:tc>
          <w:tcPr>
            <w:tcW w:type="dxa" w:w="3024"/>
          </w:tcPr>
          <w:p>
            <w:r>
              <w:rPr>
                <w:rFonts w:ascii="Times New Roman" w:hAnsi="Times New Roman"/>
                <w:sz w:val="20"/>
              </w:rPr>
              <w:t>Architektin Wiegand Flächenbestätigung</w:t>
            </w:r>
          </w:p>
        </w:tc>
        <w:tc>
          <w:tcPr>
            <w:tcW w:type="dxa" w:w="3024"/>
          </w:tcPr>
          <w:p>
            <w:r>
              <w:rPr>
                <w:rFonts w:ascii="Times New Roman" w:hAnsi="Times New Roman"/>
                <w:sz w:val="20"/>
              </w:rPr>
              <w:t>800 -- 1.200 EUR</w:t>
            </w:r>
          </w:p>
        </w:tc>
        <w:tc>
          <w:tcPr>
            <w:tcW w:type="dxa" w:w="3024"/>
          </w:tcPr>
          <w:p>
            <w:r>
              <w:rPr>
                <w:rFonts w:ascii="Times New Roman" w:hAnsi="Times New Roman"/>
                <w:sz w:val="20"/>
              </w:rPr>
              <w:t>Honorarvereinbarung</w:t>
            </w:r>
          </w:p>
        </w:tc>
      </w:tr>
      <w:tr>
        <w:tc>
          <w:tcPr>
            <w:tcW w:type="dxa" w:w="3024"/>
          </w:tcPr>
          <w:p>
            <w:r>
              <w:rPr>
                <w:rFonts w:ascii="Times New Roman" w:hAnsi="Times New Roman"/>
                <w:sz w:val="20"/>
              </w:rPr>
              <w:t>Bodenrichtwertauskunft Gutachterausschuss</w:t>
            </w:r>
          </w:p>
        </w:tc>
        <w:tc>
          <w:tcPr>
            <w:tcW w:type="dxa" w:w="3024"/>
          </w:tcPr>
          <w:p>
            <w:r>
              <w:rPr>
                <w:rFonts w:ascii="Times New Roman" w:hAnsi="Times New Roman"/>
                <w:sz w:val="20"/>
              </w:rPr>
              <w:t>47 EUR</w:t>
            </w:r>
          </w:p>
        </w:tc>
        <w:tc>
          <w:tcPr>
            <w:tcW w:type="dxa" w:w="3024"/>
          </w:tcPr>
          <w:p>
            <w:r>
              <w:rPr>
                <w:rFonts w:ascii="Times New Roman" w:hAnsi="Times New Roman"/>
                <w:sz w:val="20"/>
              </w:rPr>
              <w:t>Festgebühr</w:t>
            </w:r>
          </w:p>
        </w:tc>
      </w:tr>
      <w:tr>
        <w:tc>
          <w:tcPr>
            <w:tcW w:type="dxa" w:w="3024"/>
          </w:tcPr>
          <w:p>
            <w:r>
              <w:rPr>
                <w:rFonts w:ascii="Times New Roman" w:hAnsi="Times New Roman"/>
                <w:sz w:val="20"/>
              </w:rPr>
              <w:t>Verkehrswertgutachten (optional)</w:t>
            </w:r>
          </w:p>
        </w:tc>
        <w:tc>
          <w:tcPr>
            <w:tcW w:type="dxa" w:w="3024"/>
          </w:tcPr>
          <w:p>
            <w:r>
              <w:rPr>
                <w:rFonts w:ascii="Times New Roman" w:hAnsi="Times New Roman"/>
                <w:sz w:val="20"/>
              </w:rPr>
              <w:t>4.500 -- 6.500 EUR</w:t>
            </w:r>
          </w:p>
        </w:tc>
        <w:tc>
          <w:tcPr>
            <w:tcW w:type="dxa" w:w="3024"/>
          </w:tcPr>
          <w:p>
            <w:r>
              <w:rPr>
                <w:rFonts w:ascii="Times New Roman" w:hAnsi="Times New Roman"/>
                <w:sz w:val="20"/>
              </w:rPr>
              <w:t>HOAI-Honorarrahmen Sachverständiger</w:t>
            </w:r>
          </w:p>
        </w:tc>
      </w:tr>
      <w:tr>
        <w:tc>
          <w:tcPr>
            <w:tcW w:type="dxa" w:w="3024"/>
          </w:tcPr>
          <w:p>
            <w:r>
              <w:rPr>
                <w:rFonts w:ascii="Times New Roman" w:hAnsi="Times New Roman"/>
                <w:sz w:val="20"/>
              </w:rPr>
              <w:t>Bankbürgschaft Sparkasse Trier Sicherheitsleistung</w:t>
            </w:r>
          </w:p>
        </w:tc>
        <w:tc>
          <w:tcPr>
            <w:tcW w:type="dxa" w:w="3024"/>
          </w:tcPr>
          <w:p>
            <w:r>
              <w:rPr>
                <w:rFonts w:ascii="Times New Roman" w:hAnsi="Times New Roman"/>
                <w:sz w:val="20"/>
              </w:rPr>
              <w:t>0,6 % p. a. (ca. 30 -- 60 EUR / Quartal)</w:t>
            </w:r>
          </w:p>
        </w:tc>
        <w:tc>
          <w:tcPr>
            <w:tcW w:type="dxa" w:w="3024"/>
          </w:tcPr>
          <w:p>
            <w:r>
              <w:rPr>
                <w:rFonts w:ascii="Times New Roman" w:hAnsi="Times New Roman"/>
                <w:sz w:val="20"/>
              </w:rPr>
              <w:t>abhängig vom besicherten Betrag</w:t>
            </w:r>
          </w:p>
        </w:tc>
      </w:tr>
      <w:tr>
        <w:tc>
          <w:tcPr>
            <w:tcW w:type="dxa" w:w="3024"/>
          </w:tcPr>
          <w:p>
            <w:r>
              <w:rPr>
                <w:rFonts w:ascii="Times New Roman" w:hAnsi="Times New Roman"/>
                <w:sz w:val="20"/>
              </w:rPr>
              <w:t>Gerichtsverfahren (falls erforderlich, FG)</w:t>
            </w:r>
          </w:p>
        </w:tc>
        <w:tc>
          <w:tcPr>
            <w:tcW w:type="dxa" w:w="3024"/>
          </w:tcPr>
          <w:p>
            <w:r>
              <w:rPr>
                <w:rFonts w:ascii="Times New Roman" w:hAnsi="Times New Roman"/>
                <w:sz w:val="20"/>
              </w:rPr>
              <w:t>3.000 -- 5.000 EUR plus Gerichtskosten</w:t>
            </w:r>
          </w:p>
        </w:tc>
        <w:tc>
          <w:tcPr>
            <w:tcW w:type="dxa" w:w="3024"/>
          </w:tcPr>
          <w:p>
            <w:r>
              <w:rPr>
                <w:rFonts w:ascii="Times New Roman" w:hAnsi="Times New Roman"/>
                <w:sz w:val="20"/>
              </w:rPr>
              <w:t>optional</w:t>
            </w:r>
          </w:p>
        </w:tc>
      </w:tr>
      <w:tr>
        <w:tc>
          <w:tcPr>
            <w:tcW w:type="dxa" w:w="3024"/>
          </w:tcPr>
          <w:p>
            <w:r>
              <w:rPr>
                <w:rFonts w:ascii="Times New Roman" w:hAnsi="Times New Roman"/>
                <w:b/>
                <w:sz w:val="20"/>
              </w:rPr>
              <w:t>Gesamt (Maximalfall mit Gutachten und FG)</w:t>
            </w:r>
          </w:p>
        </w:tc>
        <w:tc>
          <w:tcPr>
            <w:tcW w:type="dxa" w:w="3024"/>
          </w:tcPr>
          <w:p>
            <w:r>
              <w:rPr>
                <w:rFonts w:ascii="Times New Roman" w:hAnsi="Times New Roman"/>
                <w:b/>
                <w:sz w:val="20"/>
              </w:rPr>
              <w:t>ca. 15.000 -- 17.000 EUR</w:t>
            </w:r>
          </w:p>
        </w:tc>
        <w:tc>
          <w:tcPr>
            <w:tcW w:type="dxa" w:w="3024"/>
          </w:tcPr>
          <w:p>
            <w:r>
              <w:rPr>
                <w:rFonts w:ascii="Times New Roman" w:hAnsi="Times New Roman"/>
                <w:sz w:val="20"/>
              </w:rPr>
              <w:t>über 2 -- 3 Jahre</w:t>
            </w:r>
          </w:p>
        </w:tc>
      </w:tr>
    </w:tbl>
    <w:p>
      <w:pPr>
        <w:pStyle w:val="Heading3"/>
      </w:pPr>
      <w:r>
        <w:rPr>
          <w:rFonts w:ascii="Times New Roman" w:hAnsi="Times New Roman"/>
        </w:rPr>
        <w:t>Kostenverteilung in der WEG</w:t>
      </w:r>
    </w:p>
    <w:p>
      <w:pPr>
        <w:jc w:val="left"/>
      </w:pPr>
      <w:r>
        <w:t>Nach § 16 Abs. 2 WEG werden die Kosten nach Miteigentumsanteilen verteilt, soweit kein abweichender Beschluss vorliegt. Bei den genannten Kosten beträgt der Anteil einer 100/1000-Wohnung etwa 1.500 -- 1.700 EUR über die Verfahrensdauer.</w:t>
      </w:r>
    </w:p>
    <w:p>
      <w:pPr>
        <w:pStyle w:val="Heading2"/>
      </w:pPr>
      <w:r>
        <w:rPr>
          <w:rFonts w:ascii="Times New Roman" w:hAnsi="Times New Roman"/>
        </w:rPr>
        <w:t>Eigentümerspezifische Hinweise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Eigentümer:in</w:t>
            </w:r>
          </w:p>
        </w:tc>
        <w:tc>
          <w:tcPr>
            <w:tcW w:type="dxa" w:w="4536"/>
          </w:tcPr>
          <w:p>
            <w:r>
              <w:rPr>
                <w:rFonts w:ascii="Times New Roman" w:hAnsi="Times New Roman"/>
                <w:b/>
                <w:sz w:val="20"/>
              </w:rPr>
              <w:t>Spezifischer Hinweis</w:t>
            </w:r>
          </w:p>
        </w:tc>
      </w:tr>
      <w:tr>
        <w:tc>
          <w:tcPr>
            <w:tcW w:type="dxa" w:w="4536"/>
          </w:tcPr>
          <w:p>
            <w:r>
              <w:rPr>
                <w:rFonts w:ascii="Times New Roman" w:hAnsi="Times New Roman"/>
                <w:sz w:val="20"/>
              </w:rPr>
              <w:t>Helene Krachtburg (W2, W5)</w:t>
            </w:r>
          </w:p>
        </w:tc>
        <w:tc>
          <w:tcPr>
            <w:tcW w:type="dxa" w:w="4536"/>
          </w:tcPr>
          <w:p>
            <w:r>
              <w:rPr>
                <w:rFonts w:ascii="Times New Roman" w:hAnsi="Times New Roman"/>
                <w:sz w:val="20"/>
              </w:rPr>
              <w:t>Sie hat angekündigt, ihren Anteil nicht zu tragen. Ein WEG-Beschluss bindet sie nach § 16 WEG. Verweigerung der Zahlung würde zu Vollstreckung gegen sie führen.</w:t>
            </w:r>
          </w:p>
        </w:tc>
      </w:tr>
      <w:tr>
        <w:tc>
          <w:tcPr>
            <w:tcW w:type="dxa" w:w="4536"/>
          </w:tcPr>
          <w:p>
            <w:r>
              <w:rPr>
                <w:rFonts w:ascii="Times New Roman" w:hAnsi="Times New Roman"/>
                <w:sz w:val="20"/>
              </w:rPr>
              <w:t>Familie Berisha (W3, G1)</w:t>
            </w:r>
          </w:p>
        </w:tc>
        <w:tc>
          <w:tcPr>
            <w:tcW w:type="dxa" w:w="4536"/>
          </w:tcPr>
          <w:p>
            <w:r>
              <w:rPr>
                <w:rFonts w:ascii="Times New Roman" w:hAnsi="Times New Roman"/>
                <w:sz w:val="20"/>
              </w:rPr>
              <w:t>Liquiditätsengpass, Frau Berisha arbeitslos. Ratenzahlung WEG-intern möglich.</w:t>
            </w:r>
          </w:p>
        </w:tc>
      </w:tr>
      <w:tr>
        <w:tc>
          <w:tcPr>
            <w:tcW w:type="dxa" w:w="4536"/>
          </w:tcPr>
          <w:p>
            <w:r>
              <w:rPr>
                <w:rFonts w:ascii="Times New Roman" w:hAnsi="Times New Roman"/>
                <w:sz w:val="20"/>
              </w:rPr>
              <w:t>Anlage Lux 1 und 2 (W4, W6, G2)</w:t>
            </w:r>
          </w:p>
        </w:tc>
        <w:tc>
          <w:tcPr>
            <w:tcW w:type="dxa" w:w="4536"/>
          </w:tcPr>
          <w:p>
            <w:r>
              <w:rPr>
                <w:rFonts w:ascii="Times New Roman" w:hAnsi="Times New Roman"/>
                <w:sz w:val="20"/>
              </w:rPr>
              <w:t>Vollmachtsperson in Luxemburg muss bis 03.06. benannt werden (Luxemburger Steuerberater Dr. Cécile Bourg).</w:t>
            </w:r>
          </w:p>
        </w:tc>
      </w:tr>
      <w:tr>
        <w:tc>
          <w:tcPr>
            <w:tcW w:type="dxa" w:w="4536"/>
          </w:tcPr>
          <w:p>
            <w:r>
              <w:rPr>
                <w:rFonts w:ascii="Times New Roman" w:hAnsi="Times New Roman"/>
                <w:sz w:val="20"/>
              </w:rPr>
              <w:t>Dr. von Pollerich (W7)</w:t>
            </w:r>
          </w:p>
        </w:tc>
        <w:tc>
          <w:tcPr>
            <w:tcW w:type="dxa" w:w="4536"/>
          </w:tcPr>
          <w:p>
            <w:r>
              <w:rPr>
                <w:rFonts w:ascii="Times New Roman" w:hAnsi="Times New Roman"/>
                <w:sz w:val="20"/>
              </w:rPr>
              <w:t>hat in der Vergangenheit Verfahren konstruktiv unterstützt; voraussichtlich Befürworter.</w:t>
            </w:r>
          </w:p>
        </w:tc>
      </w:tr>
      <w:tr>
        <w:tc>
          <w:tcPr>
            <w:tcW w:type="dxa" w:w="4536"/>
          </w:tcPr>
          <w:p>
            <w:r>
              <w:rPr>
                <w:rFonts w:ascii="Times New Roman" w:hAnsi="Times New Roman"/>
                <w:sz w:val="20"/>
              </w:rPr>
              <w:t>Erbengemeinschaft Klee (W1, W11, W12)</w:t>
            </w:r>
          </w:p>
        </w:tc>
        <w:tc>
          <w:tcPr>
            <w:tcW w:type="dxa" w:w="4536"/>
          </w:tcPr>
          <w:p>
            <w:r>
              <w:rPr>
                <w:rFonts w:ascii="Times New Roman" w:hAnsi="Times New Roman"/>
                <w:sz w:val="20"/>
              </w:rPr>
              <w:t>gleichzeitig Mieter der Buchbinderei; möglicher Interessenkonflikt bei Werkstattbewertung. Verzicht auf Stimmrecht bei Punkten zum Hinterhaus erwägen.</w:t>
            </w:r>
          </w:p>
        </w:tc>
      </w:tr>
      <w:tr>
        <w:tc>
          <w:tcPr>
            <w:tcW w:type="dxa" w:w="4536"/>
          </w:tcPr>
          <w:p>
            <w:r>
              <w:rPr>
                <w:rFonts w:ascii="Times New Roman" w:hAnsi="Times New Roman"/>
                <w:sz w:val="20"/>
              </w:rPr>
              <w:t>Erbengemeinschaft Vogt-Holm (W9)</w:t>
            </w:r>
          </w:p>
        </w:tc>
        <w:tc>
          <w:tcPr>
            <w:tcW w:type="dxa" w:w="4536"/>
          </w:tcPr>
          <w:p>
            <w:r>
              <w:rPr>
                <w:rFonts w:ascii="Times New Roman" w:hAnsi="Times New Roman"/>
                <w:sz w:val="20"/>
              </w:rPr>
              <w:t>Wohnung unvermietet wegen Brandschutzmängel; will Bewertungsreduktion möglichst weitreichend.</w:t>
            </w:r>
          </w:p>
        </w:tc>
      </w:tr>
      <w:tr>
        <w:tc>
          <w:tcPr>
            <w:tcW w:type="dxa" w:w="4536"/>
          </w:tcPr>
          <w:p>
            <w:r>
              <w:rPr>
                <w:rFonts w:ascii="Times New Roman" w:hAnsi="Times New Roman"/>
                <w:sz w:val="20"/>
              </w:rPr>
              <w:t>Selma Yildiz (W10)</w:t>
            </w:r>
          </w:p>
        </w:tc>
        <w:tc>
          <w:tcPr>
            <w:tcW w:type="dxa" w:w="4536"/>
          </w:tcPr>
          <w:p>
            <w:r>
              <w:rPr>
                <w:rFonts w:ascii="Times New Roman" w:hAnsi="Times New Roman"/>
                <w:sz w:val="20"/>
              </w:rPr>
              <w:t>unterstützt Vorgehen; bietet sich als Beirat an.</w:t>
            </w:r>
          </w:p>
        </w:tc>
      </w:tr>
    </w:tbl>
    <w:p>
      <w:pPr>
        <w:pStyle w:val="Heading2"/>
      </w:pPr>
      <w:r>
        <w:rPr>
          <w:rFonts w:ascii="Times New Roman" w:hAnsi="Times New Roman"/>
        </w:rPr>
        <w:t>Verfassungswidrigkeit -- Sprachregelung für die Versammlung</w:t>
      </w:r>
    </w:p>
    <w:p>
      <w:pPr>
        <w:jc w:val="left"/>
      </w:pPr>
      <w:r>
        <w:t>Die Frage, ob "die Grundsteuer verfassungswidrig" sei, wird von Eigentümer häufig gestellt. Anwaltliche Linie für die Versammlung:</w:t>
      </w:r>
    </w:p>
    <w:p>
      <w:pPr>
        <w:ind w:left="567"/>
      </w:pPr>
      <w:r>
        <w:rPr>
          <w:i/>
        </w:rPr>
        <w:t xml:space="preserve">Es gibt in der Tat verfassungsrechtliche Diskussionen zur Grundsteuerreform 2022 und zur Anwendung des Bundesmodells. Es ist auch ein Vorlagebeschluss eines Finanzgerichts an das Bundesverfassungsgericht anhängig. Eine endgültige Entscheidung steht aber nicht in Aussicht. </w:t>
      </w:r>
      <w:r>
        <w:rPr>
          <w:b/>
          <w:i/>
        </w:rPr>
        <w:t>Auf eine vage Verfassungsrüge zu warten, ist für unseren Einzelfall riskant.</w:t>
      </w:r>
      <w:r>
        <w:rPr>
          <w:i/>
        </w:rPr>
        <w:t xml:space="preserve"> Unsere Strategie ist anders: Wir zeigen, dass die </w:t>
      </w:r>
      <w:r>
        <w:rPr>
          <w:b/>
          <w:i/>
        </w:rPr>
        <w:t>konkrete</w:t>
      </w:r>
      <w:r>
        <w:rPr>
          <w:i/>
        </w:rPr>
        <w:t xml:space="preserve"> Bewertung unseres Objekts falsch ist. Damit haben wir auch dann Erfolg, wenn das BVerfG die Reform insgesamt für verfassungsmäßig hält.</w:t>
      </w:r>
    </w:p>
    <w:p>
      <w:pPr>
        <w:pStyle w:val="Heading2"/>
      </w:pPr>
      <w:r>
        <w:rPr>
          <w:rFonts w:ascii="Times New Roman" w:hAnsi="Times New Roman"/>
        </w:rPr>
        <w:t>Beschlussvorlagen (für das Protokoll)</w:t>
      </w:r>
    </w:p>
    <w:p>
      <w:pPr>
        <w:pStyle w:val="Heading3"/>
      </w:pPr>
      <w:r>
        <w:rPr>
          <w:rFonts w:ascii="Times New Roman" w:hAnsi="Times New Roman"/>
        </w:rPr>
        <w:t>Beschluss 1</w:t>
      </w:r>
    </w:p>
    <w:p>
      <w:pPr>
        <w:jc w:val="left"/>
      </w:pPr>
      <w:r>
        <w:t>"Die Eigentümergemeinschaft mandatiert die Kanzlei Klotzkette Steuerrecht, RAin Brigitte Hauschulz-Müller, mit der Vertretung im Verfahren beim Finanzamt Trier (Änderungsantrag / Einspruch / AdV) und beim Steueramt der Stadt Trier (Einspruch gegen Grundsteuer-A-Anhang sowie Stundungsantrag). Die Hausverwaltung wird ermächtigt, die erforderlichen Vollmachten zu erteilen."</w:t>
      </w:r>
    </w:p>
    <w:p>
      <w:pPr>
        <w:pStyle w:val="Heading3"/>
      </w:pPr>
      <w:r>
        <w:rPr>
          <w:rFonts w:ascii="Times New Roman" w:hAnsi="Times New Roman"/>
        </w:rPr>
        <w:t>Beschluss 2</w:t>
      </w:r>
    </w:p>
    <w:p>
      <w:pPr>
        <w:jc w:val="left"/>
      </w:pPr>
      <w:r>
        <w:t>"Die Eigentümergemeinschaft beauftragt die Hausverwaltung, ein Verkehrswertgutachten beim Sachverständigen Dr. Tannenfels &amp; Partner (Trier) in Auftrag zu geben, sofern die amtliche Bodenrichtwertauskunft des Gutachterausschusses eine Abweichung von mindestens 20 % zum Bescheidwert ergibt. Kostenrahmen bis 6.500 EUR netto."</w:t>
      </w:r>
    </w:p>
    <w:p>
      <w:pPr>
        <w:pStyle w:val="Heading3"/>
      </w:pPr>
      <w:r>
        <w:rPr>
          <w:rFonts w:ascii="Times New Roman" w:hAnsi="Times New Roman"/>
        </w:rPr>
        <w:t>Beschluss 3</w:t>
      </w:r>
    </w:p>
    <w:p>
      <w:pPr>
        <w:jc w:val="left"/>
      </w:pPr>
      <w:r>
        <w:t>"Die Eigentümergemeinschaft beauftragt die Architektin Franziska Wiegand mit einer aktualisierten Flächenbestätigung; Kostenrahmen bis 1.200 EUR netto."</w:t>
      </w:r>
    </w:p>
    <w:p>
      <w:pPr>
        <w:pStyle w:val="Heading3"/>
      </w:pPr>
      <w:r>
        <w:rPr>
          <w:rFonts w:ascii="Times New Roman" w:hAnsi="Times New Roman"/>
        </w:rPr>
        <w:t>Beschluss 4</w:t>
      </w:r>
    </w:p>
    <w:p>
      <w:pPr>
        <w:jc w:val="left"/>
      </w:pPr>
      <w:r>
        <w:t>"Die Eigentümergemeinschaft beauftragt die Hausverwaltung, einen Stundungs- bzw. Ratenzahlungsantrag bei der Stadtkasse Trier für die zweite Quartalsrate 2026 und ggf. Folgeraten zu stellen. Sicherheitsleistung über eine Bankbürgschaft der Sparkasse Trier wird angeboten."</w:t>
      </w:r>
    </w:p>
    <w:p>
      <w:pPr>
        <w:pStyle w:val="Heading3"/>
      </w:pPr>
      <w:r>
        <w:rPr>
          <w:rFonts w:ascii="Times New Roman" w:hAnsi="Times New Roman"/>
        </w:rPr>
        <w:t>Beschluss 5</w:t>
      </w:r>
    </w:p>
    <w:p>
      <w:pPr>
        <w:jc w:val="left"/>
      </w:pPr>
      <w:r>
        <w:t>"Die Kosten der Verfahren werden nach Miteigentumsanteilen (§ 16 Abs. 2 WEG) auf die Eigentümer verteilt. Die Hausverwaltung legt nach Abschluss eines jeden Verfahrensabschnitts eine Kostenaufstellung vor."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Rosenwinkel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Rosenwinkel Hausverwaltung GmbH</w:t>
    </w:r>
  </w:p>
  <w:p>
    <w:pPr>
      <w:jc w:val="left"/>
      <w:pBdr>
        <w:bottom w:val="single" w:sz="6" w:space="2" w:color="3B3F45"/>
      </w:pBdr>
    </w:pPr>
    <w:r>
      <w:rPr>
        <w:rFonts w:ascii="Times New Roman" w:hAnsi="Times New Roman"/>
        <w:color w:val="6B6B66"/>
        <w:sz w:val="16"/>
      </w:rPr>
      <w:t>M. Kreutzer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