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Gesellschafterbeschluss Statuswechsel</w:t>
      </w:r>
    </w:p>
    <w:p>
      <w:pPr>
        <w:jc w:val="left"/>
      </w:pPr>
      <w:r>
        <w:t>Die Gesellschafter beschließen einstimmig:</w:t>
      </w:r>
    </w:p>
    <w:p>
      <w:pPr>
        <w:pStyle w:val="ListNumber"/>
      </w:pPr>
      <w:r>
        <w:t>Der Geschäftsbetrieb erfordert nach Art und Umfang einen kaufmännisch eingerichteten Geschäftsbetrieb.</w:t>
      </w:r>
    </w:p>
    <w:p>
      <w:pPr>
        <w:pStyle w:val="ListNumber"/>
      </w:pPr>
      <w:r>
        <w:t>Die Gesellschaft soll als offene Handelsgesellschaft zum Handelsregister angemeldet werden.</w:t>
      </w:r>
    </w:p>
    <w:p>
      <w:pPr>
        <w:pStyle w:val="ListNumber"/>
      </w:pPr>
      <w:r>
        <w:t>Der Gesellschaftsvertrag wird an HGB-Strukturen angepasst.</w:t>
      </w:r>
    </w:p>
    <w:p>
      <w:pPr>
        <w:pStyle w:val="ListNumber"/>
      </w:pPr>
      <w:r>
        <w:t>Die Geschäftsführung wird beauftragt, eine KG-Umwandlung mit Investor Möller Speicherholding GmbH vorzubereiten.</w:t>
      </w:r>
    </w:p>
    <w:p>
      <w:pPr>
        <w:pStyle w:val="ListNumber"/>
      </w:pPr>
      <w:r>
        <w:t>Bis zur Eintragung wird im Außenauftritt ausschließlich die aktuell registerfähige Bezeichnung verwendet.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Investor Möller Speicherholding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Investor Möller Speicherholding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eine KG-Umwandlung mit Investor Möller Speicherholding GmbH vorzubereiten.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