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Zwischenverfügung Registergericht</w:t>
      </w:r>
    </w:p>
    <w:p>
      <w:pPr>
        <w:jc w:val="left"/>
      </w:pPr>
      <w:r>
        <w:t>Das Registergericht könnte beanstanden:</w:t>
      </w:r>
    </w:p>
    <w:p>
      <w:pPr>
        <w:pStyle w:val="ListNumber"/>
      </w:pPr>
      <w:r>
        <w:t>Firma „Elbwerft Solar OHG“ wurde bereits vor Eintragung verwendet.</w:t>
      </w:r>
    </w:p>
    <w:p>
      <w:pPr>
        <w:pStyle w:val="ListNumber"/>
      </w:pPr>
      <w:r>
        <w:t>Unternehmensgegenstand unklar zwischen Planung und Warenhandel.</w:t>
      </w:r>
    </w:p>
    <w:p>
      <w:pPr>
        <w:pStyle w:val="ListNumber"/>
      </w:pPr>
      <w:r>
        <w:t>Vertretungsregelung im Gesellschaftsvertrag widerspricht Anmeldung.</w:t>
      </w:r>
    </w:p>
    <w:p>
      <w:pPr>
        <w:pStyle w:val="ListNumber"/>
      </w:pPr>
      <w:r>
        <w:t>Statuswechsel von eGbR zu OHG und KG-Schritt werden vermischt.</w:t>
      </w:r>
    </w:p>
    <w:p>
      <w:pPr>
        <w:pStyle w:val="ListNumber"/>
      </w:pPr>
      <w:r>
        <w:t>Kommanditistin darf vor KG-Eintragung nicht irreführend im Außenauftritt erscheinen.</w:t>
      </w:r>
    </w:p>
    <w:p>
      <w:pPr>
        <w:jc w:val="left"/>
      </w:pPr>
      <w:r>
        <w:t>Antwort: getrennte Anmeldung OHG jetzt; KG-Beitritt nach gesondertem Beschluss und Vertrag.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Entwurf Zwischenverfügung Registergericht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Entwurf Zwischenverfügung Registergericht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