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Schreiben Registergericht</w:t>
      </w:r>
    </w:p>
    <w:p>
      <w:pPr>
        <w:jc w:val="left"/>
      </w:pPr>
      <w:r>
        <w:t>Amtsgericht Charlottenburg - Registergericht</w:t>
      </w:r>
    </w:p>
    <w:p>
      <w:pPr>
        <w:jc w:val="left"/>
      </w:pPr>
      <w:r>
        <w:t>HRB 246810 B</w:t>
      </w:r>
    </w:p>
    <w:p>
      <w:pPr>
        <w:jc w:val="left"/>
      </w:pPr>
      <w:r>
        <w:t>In der Registersache Rabenhof Sensorik GmbH wird um Stellungnahme binnen zwei Wochen gebeten.</w:t>
      </w:r>
    </w:p>
    <w:p>
      <w:pPr>
        <w:pStyle w:val="ListNumber"/>
      </w:pPr>
      <w:r>
        <w:t>Die Anmeldung der Kapitalerhöhung verweist auf eine Gesellschafterliste, die prozentuale Beteiligungen nur auf eine Nachkommastelle ausweist.</w:t>
      </w:r>
    </w:p>
    <w:p>
      <w:pPr>
        <w:pStyle w:val="ListNumber"/>
      </w:pPr>
      <w:r>
        <w:t>Die Versicherung der neu bestellten Geschäftsführerin enthält keinen ausdrücklichen Bezug auf die Bestellung vom 19.05.2026.</w:t>
      </w:r>
    </w:p>
    <w:p>
      <w:pPr>
        <w:pStyle w:val="ListNumber"/>
      </w:pPr>
      <w:r>
        <w:t>Die zur Borchert Venture KG vorgelegten Vertretungsnachweise sind unvollständig.</w:t>
      </w:r>
    </w:p>
    <w:p>
      <w:pPr>
        <w:pStyle w:val="ListNumber"/>
      </w:pPr>
      <w:r>
        <w:t>Die Firma enthält weiterhin den Zusatz „Sensorik“, obwohl der Unternehmensgegenstand auch Finanzierungsvermittlung nennt. Es wird um Erläuterung gebeten, ob erlaubnispflichtige Tätigkeiten ausgeübt werden.</w:t>
      </w:r>
    </w:p>
    <w:p>
      <w:pPr>
        <w:jc w:val="left"/>
      </w:pPr>
      <w:r>
        <w:t>Rechtspflegerin R. Kaltenborn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Schreiben Registergericht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Schreiben Registergericht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Gericht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