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Notiz Closing-Call — 02.06.2026, 16:30-17:15 Uhr</w:t>
      </w:r>
    </w:p>
    <w:p>
      <w:pPr>
        <w:jc w:val="left"/>
      </w:pPr>
      <w:r>
        <w:rPr>
          <w:b/>
        </w:rPr>
        <w:t>Teilnehmer:</w:t>
      </w:r>
      <w:r>
        <w:t xml:space="preserve"> RA Dr. Westarp, RAin Fendrich (Kanzlei); Notarin Hollenbrink; CFO Brandstätter (Rabenhof); Frau Dr. Salomon, Hr. Yilmaz (Spreewald Growth).</w:t>
      </w:r>
    </w:p>
    <w:p>
      <w:pPr>
        <w:pStyle w:val="Heading2"/>
      </w:pPr>
      <w:r>
        <w:rPr>
          <w:rFonts w:ascii="Times New Roman" w:hAnsi="Times New Roman"/>
        </w:rPr>
        <w:t>Verlauf und Positionen</w:t>
      </w:r>
    </w:p>
    <w:p>
      <w:pPr>
        <w:jc w:val="left"/>
      </w:pPr>
      <w:r>
        <w:rPr>
          <w:b/>
        </w:rPr>
        <w:t>Spreewald Growth (Dr. Salomon):</w:t>
      </w:r>
      <w:r>
        <w:t xml:space="preserve"> Will bis </w:t>
      </w:r>
      <w:r>
        <w:rPr>
          <w:b/>
        </w:rPr>
        <w:t>Freitag, 06.06., 12:00 Uhr</w:t>
      </w:r>
      <w:r>
        <w:t xml:space="preserve"> eine belastbare Aussage, ob die Eintragung bis KW 24 realistisch ist. Hintergrund offen ausgesprochen: Der Fonds hat ein zweites Closing-Fenster erst wieder Ende Juli; das IC-Mandat für die Bewertung läuft am 30.06. aus ("danach neue Gremienrunde, das will niemand"). Bei Unsicherheit verlangt sie alternativ eine Closing-Struktur, die nicht an der Eintragung hängt.</w:t>
      </w:r>
    </w:p>
    <w:p>
      <w:pPr>
        <w:jc w:val="left"/>
      </w:pPr>
      <w:r>
        <w:rPr>
          <w:b/>
        </w:rPr>
        <w:t>Notarin Hollenbrink:</w:t>
      </w:r>
      <w:r>
        <w:t xml:space="preserve"> Hält alle vier Beanstandungen für behebbar; Liste Version B sei "in zwei Tagen draußen", die ergänzte Geschäftsführer-Versicherung ebenso. Einziger Unsicherheitsfaktor sei die Negativbestätigung des Insolvenzgerichts zur Borchert-Komplementärin — "auf deren Geschäftsstelle habe ich keinen Einfluss". Erfahrungswert AG Charlottenburg nach vollständiger Nachreichung: 5-10 Arbeitstage bis Eintragung, bei Rückfragen länger.</w:t>
      </w:r>
    </w:p>
    <w:p>
      <w:pPr>
        <w:jc w:val="left"/>
      </w:pPr>
      <w:r>
        <w:rPr>
          <w:b/>
        </w:rPr>
        <w:t>CFO Brandstätter:</w:t>
      </w:r>
      <w:r>
        <w:t xml:space="preserve"> Möchte das Registergericht </w:t>
      </w:r>
      <w:r>
        <w:rPr>
          <w:b/>
        </w:rPr>
        <w:t>nicht</w:t>
      </w:r>
      <w:r>
        <w:t xml:space="preserve"> telefonisch drängen — "keinen Ärger mit der Rechtspflegerin", die Gesellschaft brauche das Gericht auch künftig (weitere Runde 2027 absehbar). Bittet darum, jede Kommunikation über die Notarin laufen zu lassen.</w:t>
      </w:r>
    </w:p>
    <w:p>
      <w:pPr>
        <w:jc w:val="left"/>
      </w:pPr>
      <w:r>
        <w:rPr>
          <w:b/>
        </w:rPr>
        <w:t>Dr. Westarp:</w:t>
      </w:r>
      <w:r>
        <w:t xml:space="preserve"> Schlägt nüchterne </w:t>
      </w:r>
      <w:r>
        <w:rPr>
          <w:b/>
        </w:rPr>
        <w:t>Nachreichung mit Beanstandungs-Matrix</w:t>
      </w:r>
      <w:r>
        <w:t xml:space="preserve"> vor (jede Rüge, jede Antwort, jede Anlage tabellarisch — Entwurf Aktenstück 06, Prüfmatrix Aktenstück 10): "Rechtspfleger wollen abhaken können." Eskalation nur als ultima ratio und dann förmlich (Sachstandsanfrage, danach ggf. Erinnerung/Beschwerde nach § 11 RPflG i.V.m. §§ 58 ff. FamFG — derzeit fernliegend).</w:t>
      </w:r>
    </w:p>
    <w:p>
      <w:pPr>
        <w:pStyle w:val="Heading2"/>
      </w:pPr>
      <w:r>
        <w:rPr>
          <w:rFonts w:ascii="Times New Roman" w:hAnsi="Times New Roman"/>
        </w:rPr>
        <w:t>Beschlossene Punkte</w:t>
      </w:r>
    </w:p>
    <w:p>
      <w:pPr>
        <w:pStyle w:val="ListNumber"/>
      </w:pPr>
      <w:r>
        <w:rPr>
          <w:b/>
        </w:rPr>
        <w:t>Nachreichung komplett bis Mittwoch 04.06.</w:t>
      </w:r>
      <w:r>
        <w:t xml:space="preserve"> über die Notarin (Liste B, ergänzte Versicherung, HR-Auszüge Borchert; Insolvenzgerichts-Bestätigung folgt nach, wird im Anschreiben angekündigt).</w:t>
      </w:r>
    </w:p>
    <w:p>
      <w:pPr>
        <w:pStyle w:val="ListNumber"/>
      </w:pPr>
      <w:r>
        <w:rPr>
          <w:b/>
        </w:rPr>
        <w:t>Plan B fürs Closing</w:t>
      </w:r>
      <w:r>
        <w:t xml:space="preserve"> (Westarp bis Donnerstag an Salomon): Signing wie geplant; Closing aufschiebend bedingt auf Eintragung der Kapitalerhöhung; Long-Stop 30.06.2026; Einzahlung auf Notaranderkonto bereits beim Signing — damit ist das IC-Zeitfenster gesichert, auch wenn das Register KW 25 braucht.</w:t>
      </w:r>
    </w:p>
    <w:p>
      <w:pPr>
        <w:pStyle w:val="ListNumber"/>
      </w:pPr>
      <w:r>
        <w:rPr>
          <w:b/>
        </w:rPr>
        <w:t>Kommunikationsregel:</w:t>
      </w:r>
      <w:r>
        <w:t xml:space="preserve"> Kontakt zum Registergericht ausschließlich Notarin; Sachstandsanfrage frühestens 10.06.; keine Anrufe durch Gesellschaft oder Investorin.</w:t>
      </w:r>
    </w:p>
    <w:p>
      <w:pPr>
        <w:pStyle w:val="ListNumber"/>
      </w:pPr>
      <w:r>
        <w:rPr>
          <w:b/>
        </w:rPr>
        <w:t>Reporting:</w:t>
      </w:r>
      <w:r>
        <w:t xml:space="preserve"> Fendrich hält Fristenblatt (Aktenstück 07) täglich aktuell; Statusmail an alle Call-Teilnehmer jeweils 17:00 Uhr.</w:t>
      </w:r>
    </w:p>
    <w:p>
      <w:pPr>
        <w:pStyle w:val="Heading2"/>
      </w:pPr>
      <w:r>
        <w:rPr>
          <w:rFonts w:ascii="Times New Roman" w:hAnsi="Times New Roman"/>
        </w:rPr>
        <w:t>Offene Risiken (offen angesprochen)</w:t>
      </w:r>
    </w:p>
    <w:p>
      <w:pPr>
        <w:pStyle w:val="ListBullet"/>
      </w:pPr>
      <w:r>
        <w:t xml:space="preserve">Sollte das Insolvenzgericht bestätigen, dass die </w:t>
      </w:r>
      <w:r>
        <w:rPr>
          <w:b/>
        </w:rPr>
        <w:t>Komplementärin selbst</w:t>
      </w:r>
      <w:r>
        <w:t xml:space="preserve"> in Insolvenz ist: Vertretungskette der Borchert-Stimmen bricht; dann Nachweis führen, dass der Erhöhungsbeschluss auch ohne diese Stimmen die Dreiviertelmehrheit (§ 53 Abs. 2 GmbHG) trägt — Westarp bereitet den Hilfsvortrag vorsorglich vor.</w:t>
      </w:r>
    </w:p>
    <w:p>
      <w:pPr>
        <w:pStyle w:val="ListBullet"/>
      </w:pPr>
      <w:r>
        <w:t>Punkt 4 der Zwischenverfügung (Firmenzusatz/erlaubnispflichtige Tätigkeit) birgt das einzige inhaltliche Eskalationsrisiko; falls die Rechtspflegerin auf einer Gegenstandsänderung besteht, wäre ein neuer Beschluss nötig (Beurkundung + erneute Anmeldung = +2 Wochen). Vorsorglich legt die Notarin der Nachreichung eine Geschäftsführer-Erklärung bei, dass keine Tätigkeiten nach § 34c GewO/KWG ausgeübt werden.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Notarin Hollenbrink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NOTARIN HOLLENBRINK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RAin Fendrich (Kanzlei); Notarin Hollenbrink; CFO Brandstätter (Rabenhof); Frau Dr. Salomon, Hr. Yilmaz (Spreewald Growt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