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NDA-Auszug Projekt Waldkrone</w:t>
      </w:r>
    </w:p>
    <w:p>
      <w:r>
        <w:t>Die Parteien verpflichten sich, sämtliche Informationen aus dem Datenraum und alle ihnen bekannt werdenden Umstände der Geschäftstätigkeit streng geheim zu halten und gegenüber Behörden, Medien, Beschäftigten und sonstigen Dritten nicht offenzulegen.</w:t>
      </w:r>
    </w:p>
    <w:p>
      <w:r>
        <w:t>Ausgenommen sind Informationen, deren Offenlegung zwingend gesetzlich vorgeschrieben ist. Der Entwurf erwähnt Meldungen nach Hinweisgeberschutzrecht, Geschäftsgeheimnisgesetz und anwaltliche Beratung nicht ausdrücklich.</w:t>
      </w:r>
    </w:p>
    <w:p>
      <w:pPr>
        <w:pStyle w:val="ListBullet"/>
      </w:pPr>
      <w:r>
        <w:t>Risiko: chilling effect gegenüber Meldestellen</w:t>
      </w:r>
    </w:p>
    <w:p>
      <w:pPr>
        <w:pStyle w:val="ListBullet"/>
      </w:pPr>
      <w:r>
        <w:t>Risiko: unklare Behördenkontakte</w:t>
      </w:r>
    </w:p>
    <w:p>
      <w:pPr>
        <w:pStyle w:val="ListBullet"/>
      </w:pPr>
      <w:r>
        <w:t>Risiko: keine interne Eskalationslogik</w:t>
      </w:r>
    </w:p>
    <w:p>
      <w:pPr>
        <w:pStyle w:val="Heading1"/>
      </w:pPr>
      <w:r>
        <w:t>Unterzeichnungs- und Verteilerstand</w:t>
      </w:r>
    </w:p>
    <w:p>
      <w:pPr>
        <w:pStyle w:val="Heading2"/>
      </w:pPr>
      <w:r>
        <w:t>Beteiligte und Zweck</w:t>
      </w:r>
    </w:p>
    <w:p>
      <w:r>
        <w:t>Waldkrone Handelslogistik GmbH, Hafenring 14, 28195 Bremen, und die externe Untersuchungsberaterin Dr. Mira Ahlers vereinbaren für den Vorgang HK-26-041 einen eng begrenzten Clean-Team-Zugang. Zugriff erhalten nur Dr. Ahlers, Rechtsanwalt Jan Wrede und die forensische Sachbearbeiterin Lene Bartels.</w:t>
      </w:r>
    </w:p>
    <w:p>
      <w:r>
        <w:t>Der Zugang umfasst die Meldung vom 14. Mai 2026, Lieferantenrechnungen der Orbis Frachtkontor KG, Chatnachrichten der Einkaufsgruppe und Protokolle des internen Meldekanals. Personalakten, private Nachrichten und sachfremde Daten bleiben außerhalb des Arbeitsordners.</w:t>
      </w:r>
    </w:p>
    <w:p>
      <w:pPr>
        <w:pStyle w:val="Heading2"/>
      </w:pPr>
      <w:r>
        <w:t>Arbeits- und Rückgaberegeln</w:t>
      </w:r>
    </w:p>
    <w:p>
      <w:r>
        <w:t>Jede Einsicht wird mit Nutzer, Zeitpunkt, Datei und Exportvorgang protokolliert. Erkenntnisse werden nur in einem nummerierten Untersuchungsvermerk verarbeitet; Identität und Rückschlüsse auf den Hinweisgeber werden nicht in den allgemeinen Projektverteiler aufgenommen.</w:t>
      </w:r>
    </w:p>
    <w:p>
      <w:r>
        <w:t>Nach Abschluss bestätigt jedes Mitglied Rückgabe oder dokumentierte Löschung der Arbeitskopien. Gesetzliche Aufbewahrung, Verteidigungsrechte und eine behördliche Herausgabe werden nicht durch eine pauschale Vernichtungsanweisung verkürzt. Bremen, 20. Mai 2026; Unterschriftsfelder für Geschäftsführung und jedes Mitglied.</w:t>
      </w:r>
    </w:p>
    <w:sectPr w:rsidR="00FC693F" w:rsidRPr="0006063C" w:rsidSect="00034616">
      <w:headerReference w:type="default" r:id="rId9"/>
      <w:footerReference w:type="default" r:id="rId10"/>
      <w:pgSz w:w="11906" w:h="16838"/>
      <w:pgMar w:top="1247" w:right="1134" w:bottom="1020" w:left="119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Risiko: unklare Behördenkontakte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Risiko: unklare Behördenkontakte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