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Behördenrouting bei mehrgleisigem Hinweisgebervorfall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Der eingegangene Hinweis berührt mehrere Regelungskreise gleichzeitig: Whistleblower-Schutz nach Hinweisgeberschutzgesetz (HinSchG), möglicher Verstoß gegen Exportkontrolle (AWG/AWV, Dual-Use-VO), Datenschutz (DSGVO), Produktsicherheit (ProdSG/GPSR) und ggf. Strafrecht (§§ 263, 266 StGB, AWG-Strafvorschriften). Die Reihenfolge der Einbindung externer Behörden ist nicht beliebig — sie hat materielle Konsequenzen für Anonymität des Hinweisgebers, Verwertbarkeit der Erkenntnisse und Strafzumessung bei eigenen Pflichtverstößen.</w:t>
      </w:r>
    </w:p>
    <w:p>
      <w:pPr>
        <w:pStyle w:val="Heading2"/>
      </w:pPr>
      <w:r>
        <w:rPr>
          <w:rFonts w:ascii="Times New Roman" w:hAnsi="Times New Roman"/>
        </w:rPr>
        <w:t>Grundregel</w:t>
      </w:r>
    </w:p>
    <w:p>
      <w:pPr>
        <w:jc w:val="left"/>
      </w:pPr>
      <w:r>
        <w:rPr>
          <w:b/>
        </w:rPr>
        <w:t>Nicht entscheiden, bevor Sachverhalt und Rechtsgebiet sauber getrennt sind.</w:t>
      </w:r>
      <w:r>
        <w:t xml:space="preserve"> Erst Tatsachen klären, dann pro Rechtsgebiet eine separate Entscheidung treffen. Parallelmeldungen können sich gegenseitig blockieren oder zur Identitätsoffenbarung des Hinweisgebers führen.</w:t>
      </w:r>
    </w:p>
    <w:p>
      <w:pPr>
        <w:pStyle w:val="Heading2"/>
      </w:pPr>
      <w:r>
        <w:rPr>
          <w:rFonts w:ascii="Times New Roman" w:hAnsi="Times New Roman"/>
        </w:rPr>
        <w:t>Mögliche parallele Stellen</w:t>
      </w:r>
    </w:p>
    <w:p>
      <w:pPr>
        <w:pStyle w:val="Heading3"/>
      </w:pPr>
      <w:r>
        <w:rPr>
          <w:rFonts w:ascii="Times New Roman" w:hAnsi="Times New Roman"/>
        </w:rPr>
        <w:t>1. Externe Meldestelle nach HinSchG (BfJ)</w:t>
      </w:r>
    </w:p>
    <w:p>
      <w:pPr>
        <w:pStyle w:val="ListBullet"/>
      </w:pPr>
      <w:r>
        <w:rPr>
          <w:b/>
        </w:rPr>
        <w:t>Wann:</w:t>
      </w:r>
      <w:r>
        <w:t xml:space="preserve"> Wenn der Hinweisgeber befürchtet, dass die interne Meldestelle nicht unparteiisch reagiert, oder wenn die interne Bearbeitung über die gesetzliche Drei-Monats-Frist hinausgeht.</w:t>
      </w:r>
    </w:p>
    <w:p>
      <w:pPr>
        <w:pStyle w:val="ListBullet"/>
      </w:pPr>
      <w:r>
        <w:rPr>
          <w:b/>
        </w:rPr>
        <w:t>Wie:</w:t>
      </w:r>
      <w:r>
        <w:t xml:space="preserve"> Über die zentrale externe Meldestelle beim Bundesamt für Justiz oder eine eingerichtete Landesmeldestelle. Eingang per Online-Formular, Post oder mündlich.</w:t>
      </w:r>
    </w:p>
    <w:p>
      <w:pPr>
        <w:pStyle w:val="ListBullet"/>
      </w:pPr>
      <w:r>
        <w:rPr>
          <w:b/>
        </w:rPr>
        <w:t>Folge:</w:t>
      </w:r>
      <w:r>
        <w:t xml:space="preserve"> Hinweisgeber genießt Schutz nach §§ 33-37 HinSchG. Identität bleibt geschützt, soweit gesetzlich möglich.</w:t>
      </w:r>
    </w:p>
    <w:p>
      <w:pPr>
        <w:pStyle w:val="ListBullet"/>
      </w:pPr>
      <w:r>
        <w:rPr>
          <w:b/>
        </w:rPr>
        <w:t>Risiko:</w:t>
      </w:r>
      <w:r>
        <w:t xml:space="preserve"> Bei Weitergabe an die Strafverfolgung kann § 9 HinSchG die Identität offenbaren, wenn dies für Ermittlungen unerlässlich ist.</w:t>
      </w:r>
    </w:p>
    <w:p>
      <w:pPr>
        <w:pStyle w:val="Heading3"/>
      </w:pPr>
      <w:r>
        <w:rPr>
          <w:rFonts w:ascii="Times New Roman" w:hAnsi="Times New Roman"/>
        </w:rPr>
        <w:t>2. Datenschutzaufsicht</w:t>
      </w:r>
    </w:p>
    <w:p>
      <w:pPr>
        <w:pStyle w:val="ListBullet"/>
      </w:pPr>
      <w:r>
        <w:rPr>
          <w:b/>
        </w:rPr>
        <w:t>Wann:</w:t>
      </w:r>
      <w:r>
        <w:t xml:space="preserve"> Wenn der Hinweis konkrete Anhaltspunkte für eine Datenpanne enthält, die ein Risiko für Rechte und Freiheiten Betroffener auslöst.</w:t>
      </w:r>
    </w:p>
    <w:p>
      <w:pPr>
        <w:pStyle w:val="ListBullet"/>
      </w:pPr>
      <w:r>
        <w:rPr>
          <w:b/>
        </w:rPr>
        <w:t>Wer:</w:t>
      </w:r>
      <w:r>
        <w:t xml:space="preserve"> Zuständige Landesdatenschutzbehörde (Sitz des Verantwortlichen) oder BfDI (bei Bundesbehörden / TK-Anbietern).</w:t>
      </w:r>
    </w:p>
    <w:p>
      <w:pPr>
        <w:pStyle w:val="ListBullet"/>
      </w:pPr>
      <w:r>
        <w:rPr>
          <w:b/>
        </w:rPr>
        <w:t>Frist:</w:t>
      </w:r>
      <w:r>
        <w:t xml:space="preserve"> 72 Stunden ab Kenntnis nach Art. 33 DSGVO — beginnt nicht zwangsläufig mit Eingang des Hinweises, sondern mit positiver Kenntnis durch eine zur Beurteilung befugte Stelle (in der Regel DSB nach Plausibilisierung).</w:t>
      </w:r>
    </w:p>
    <w:p>
      <w:pPr>
        <w:pStyle w:val="ListBullet"/>
      </w:pPr>
      <w:r>
        <w:rPr>
          <w:b/>
        </w:rPr>
        <w:t>Folge:</w:t>
      </w:r>
      <w:r>
        <w:t xml:space="preserve"> Datenschutzaufsicht entscheidet über Untersuchung, kann Bußgeld einleiten.</w:t>
      </w:r>
    </w:p>
    <w:p>
      <w:pPr>
        <w:pStyle w:val="Heading3"/>
      </w:pPr>
      <w:r>
        <w:rPr>
          <w:rFonts w:ascii="Times New Roman" w:hAnsi="Times New Roman"/>
        </w:rPr>
        <w:t>3. Exportkontrolle (BAFA)</w:t>
      </w:r>
    </w:p>
    <w:p>
      <w:pPr>
        <w:pStyle w:val="ListBullet"/>
      </w:pPr>
      <w:r>
        <w:rPr>
          <w:b/>
        </w:rPr>
        <w:t>Wann:</w:t>
      </w:r>
      <w:r>
        <w:t xml:space="preserve"> Wenn der Hinweis konkrete Lieferungen an sanktionierte Empfänger oder Verstöße gegen Genehmigungspflichten nach AWG/AWV oder Dual-Use-VO benennt.</w:t>
      </w:r>
    </w:p>
    <w:p>
      <w:pPr>
        <w:pStyle w:val="ListBullet"/>
      </w:pPr>
      <w:r>
        <w:rPr>
          <w:b/>
        </w:rPr>
        <w:t>Wer:</w:t>
      </w:r>
      <w:r>
        <w:t xml:space="preserve"> Bundesamt für Wirtschaft und Ausfuhrkontrolle (BAFA), Eschborn.</w:t>
      </w:r>
    </w:p>
    <w:p>
      <w:pPr>
        <w:pStyle w:val="ListBullet"/>
      </w:pPr>
      <w:r>
        <w:rPr>
          <w:b/>
        </w:rPr>
        <w:t>Vorsicht:</w:t>
      </w:r>
      <w:r>
        <w:t xml:space="preserve"> Eine Selbstanzeige nach AWG kann strafbefreiend wirken (§ 22 Abs. 4 AWG bei Fahrlässigkeit) — </w:t>
      </w:r>
      <w:r>
        <w:rPr>
          <w:b/>
        </w:rPr>
        <w:t>vor</w:t>
      </w:r>
      <w:r>
        <w:t xml:space="preserve"> Meldung Sachverhalt anwaltlich prüfen und ggf. ICP-Programm dokumentieren.</w:t>
      </w:r>
    </w:p>
    <w:p>
      <w:pPr>
        <w:pStyle w:val="ListBullet"/>
      </w:pPr>
      <w:r>
        <w:rPr>
          <w:b/>
        </w:rPr>
        <w:t>Parallel:</w:t>
      </w:r>
      <w:r>
        <w:t xml:space="preserve"> Ggf. Zollkriminalamt (ZKA), wenn Strafverfolgung bereits absehbar ist.</w:t>
      </w:r>
    </w:p>
    <w:p>
      <w:pPr>
        <w:pStyle w:val="Heading3"/>
      </w:pPr>
      <w:r>
        <w:rPr>
          <w:rFonts w:ascii="Times New Roman" w:hAnsi="Times New Roman"/>
        </w:rPr>
        <w:t>4. Produktsicherheit</w:t>
      </w:r>
    </w:p>
    <w:p>
      <w:pPr>
        <w:pStyle w:val="ListBullet"/>
      </w:pPr>
      <w:r>
        <w:rPr>
          <w:b/>
        </w:rPr>
        <w:t>Wann:</w:t>
      </w:r>
      <w:r>
        <w:t xml:space="preserve"> Wenn der Hinweis ein konkretes Sicherheitsrisiko eines bereits in Verkehr gebrachten Produkts benennt.</w:t>
      </w:r>
    </w:p>
    <w:p>
      <w:pPr>
        <w:pStyle w:val="ListBullet"/>
      </w:pPr>
      <w:r>
        <w:rPr>
          <w:b/>
        </w:rPr>
        <w:t>Wer:</w:t>
      </w:r>
      <w:r>
        <w:t xml:space="preserve"> Marktüberwachungsbehörde des Bundeslandes des Herstellers; bei Verbraucherprodukten zusätzlich RAPEX-Meldung über das BAuA.</w:t>
      </w:r>
    </w:p>
    <w:p>
      <w:pPr>
        <w:pStyle w:val="ListBullet"/>
      </w:pPr>
      <w:r>
        <w:rPr>
          <w:b/>
        </w:rPr>
        <w:t>Frist:</w:t>
      </w:r>
      <w:r>
        <w:t xml:space="preserve"> Unverzügliche Meldung ist Pflicht (§ 6 Abs. 4 ProdSG, ab 2024 GPSR Art. 20).</w:t>
      </w:r>
    </w:p>
    <w:p>
      <w:pPr>
        <w:pStyle w:val="ListBullet"/>
      </w:pPr>
      <w:r>
        <w:rPr>
          <w:b/>
        </w:rPr>
        <w:t>Folge:</w:t>
      </w:r>
      <w:r>
        <w:t xml:space="preserve"> Pflicht zur Rückrufaktion / Korrekturmaßnahme.</w:t>
      </w:r>
    </w:p>
    <w:p>
      <w:pPr>
        <w:pStyle w:val="Heading3"/>
      </w:pPr>
      <w:r>
        <w:rPr>
          <w:rFonts w:ascii="Times New Roman" w:hAnsi="Times New Roman"/>
        </w:rPr>
        <w:t>5. Strafverfolgung (Staatsanwaltschaft)</w:t>
      </w:r>
    </w:p>
    <w:p>
      <w:pPr>
        <w:pStyle w:val="ListBullet"/>
      </w:pPr>
      <w:r>
        <w:rPr>
          <w:b/>
        </w:rPr>
        <w:t>Wann:</w:t>
      </w:r>
      <w:r>
        <w:t xml:space="preserve"> Bei substantiierten Anhaltspunkten auf Straftaten (§ 263, § 266, § 299 StGB, AWG-Strafnormen, GwG-Strafnormen).</w:t>
      </w:r>
    </w:p>
    <w:p>
      <w:pPr>
        <w:pStyle w:val="ListBullet"/>
      </w:pPr>
      <w:r>
        <w:rPr>
          <w:b/>
        </w:rPr>
        <w:t>Wer:</w:t>
      </w:r>
      <w:r>
        <w:t xml:space="preserve"> Wirtschaftsstaatsanwaltschaft am Sitz der Gesellschaft.</w:t>
      </w:r>
    </w:p>
    <w:p>
      <w:pPr>
        <w:pStyle w:val="ListBullet"/>
      </w:pPr>
      <w:r>
        <w:rPr>
          <w:b/>
        </w:rPr>
        <w:t>Vorsicht:</w:t>
      </w:r>
      <w:r>
        <w:t xml:space="preserve"> Anzeigeerstattung kann Auswirkungen auf das gesamte Unternehmen haben (z.B. § 30 OWiG Verbandsgeldbuße); vor Anzeige unbedingt geschäftsleitungsseitige Risikobewertung.</w:t>
      </w:r>
    </w:p>
    <w:p>
      <w:pPr>
        <w:pStyle w:val="Heading2"/>
      </w:pPr>
      <w:r>
        <w:rPr>
          <w:rFonts w:ascii="Times New Roman" w:hAnsi="Times New Roman"/>
        </w:rPr>
        <w:t>Entscheidungsmatrix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Erste Meldung 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Vorab anwaltlich?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HinSchG-Schutz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Externe Meldestelle (BfJ)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harte Frist, faktisch zügig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Datenpanne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Datenschutzaufsicht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72h ab Kenntnis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Exportkontrolle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BAFA (ggf. Selbstanzeige)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unbedingt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Produktsicherheit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Marktüberwachung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Straftat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keine, aber Pflichten je nach 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unbedingt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Reihenfolge im konkreten Fall</w:t>
      </w:r>
    </w:p>
    <w:p>
      <w:pPr>
        <w:pStyle w:val="ListNumber"/>
      </w:pPr>
      <w:r>
        <w:rPr>
          <w:b/>
        </w:rPr>
        <w:t>Sachverhalts-Triage abschließen</w:t>
      </w:r>
      <w:r>
        <w:t xml:space="preserve"> (Aktenstücke 02 bis 18 systematisch durcharbeiten).</w:t>
      </w:r>
    </w:p>
    <w:p>
      <w:pPr>
        <w:pStyle w:val="ListNumber"/>
      </w:pPr>
      <w:r>
        <w:rPr>
          <w:b/>
        </w:rPr>
        <w:t>Anonymität sichern</w:t>
      </w:r>
      <w:r>
        <w:t xml:space="preserve"> — keine vorzeitigen Mails, in denen der Hinweisgeber erkennbar wird.</w:t>
      </w:r>
    </w:p>
    <w:p>
      <w:pPr>
        <w:pStyle w:val="ListNumber"/>
      </w:pPr>
      <w:r>
        <w:rPr>
          <w:b/>
        </w:rPr>
        <w:t>Anwaltliche Bewertung</w:t>
      </w:r>
      <w:r>
        <w:t xml:space="preserve"> pro Rechtsgebiet, ob Meldepflicht besteht.</w:t>
      </w:r>
    </w:p>
    <w:p>
      <w:pPr>
        <w:pStyle w:val="ListNumber"/>
      </w:pPr>
      <w:r>
        <w:rPr>
          <w:b/>
        </w:rPr>
        <w:t>Geschäftsleitung schriftlich informieren</w:t>
      </w:r>
      <w:r>
        <w:t xml:space="preserve"> — knapp, ohne Sachverhalt zu präjudizieren.</w:t>
      </w:r>
    </w:p>
    <w:p>
      <w:pPr>
        <w:pStyle w:val="ListNumber"/>
      </w:pPr>
      <w:r>
        <w:rPr>
          <w:b/>
        </w:rPr>
        <w:t>Pro Rechtsgebiet einzeln entscheiden</w:t>
      </w:r>
      <w:r>
        <w:t xml:space="preserve"> — keine Sammelmeldung an "alle Behörden gleichzeitig".</w:t>
      </w:r>
    </w:p>
    <w:p>
      <w:pPr>
        <w:pStyle w:val="ListNumber"/>
      </w:pPr>
      <w:r>
        <w:rPr>
          <w:b/>
        </w:rPr>
        <w:t>Decision-Log führen</w:t>
      </w:r>
      <w:r>
        <w:t xml:space="preserve"> — pro Entscheidung Zeitstempel, Begründung, Verantwortlicher.</w:t>
      </w:r>
    </w:p>
    <w:p>
      <w:pPr>
        <w:pStyle w:val="Heading2"/>
      </w:pPr>
      <w:r>
        <w:rPr>
          <w:rFonts w:ascii="Times New Roman" w:hAnsi="Times New Roman"/>
        </w:rPr>
        <w:t>Was nicht passieren darf</w:t>
      </w:r>
    </w:p>
    <w:p>
      <w:pPr>
        <w:pStyle w:val="ListBullet"/>
      </w:pPr>
      <w:r>
        <w:t>Spontane "Vorabmeldung" an eine Behörde ohne Sachverhaltsklarheit.</w:t>
      </w:r>
    </w:p>
    <w:p>
      <w:pPr>
        <w:pStyle w:val="ListBullet"/>
      </w:pPr>
      <w:r>
        <w:t>Weiterleitung der Hinweisgeber-Identität an Externe ohne Einwilligung oder gesetzliche Erlaubnis.</w:t>
      </w:r>
    </w:p>
    <w:p>
      <w:pPr>
        <w:pStyle w:val="ListBullet"/>
      </w:pPr>
      <w:r>
        <w:t>"Selbstanzeige" beim BAFA ohne anwaltliche Vorprüfung (kann unwirksam und straferschwerend sein).</w:t>
      </w:r>
    </w:p>
    <w:p>
      <w:pPr>
        <w:pStyle w:val="ListBullet"/>
      </w:pPr>
      <w:r>
        <w:t>Pressekontakte ohne abgestimmtes Holding-Statement.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Bullet"/>
      </w:pPr>
      <w:r>
        <w:t>Erweiterte Sachverhaltsfeststellung in nächster Sitzung des HinSchG-Bearbeitungsteams (Termin: Aktenstück 22).</w:t>
      </w:r>
    </w:p>
    <w:p>
      <w:pPr>
        <w:pStyle w:val="ListBullet"/>
      </w:pPr>
      <w:r>
        <w:t>Vorgespräch mit AWG-Spezialanwalt zur möglichen Selbstanzeige binnen 7 Tagen.</w:t>
      </w:r>
    </w:p>
    <w:p>
      <w:pPr>
        <w:pStyle w:val="ListBullet"/>
      </w:pPr>
      <w:r>
        <w:t>DSB-Vorabprüfung zur Datenpannen-Frage binnen 48 Stunden.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Behördenrouting bei mehrgleisigem Hinweisgebervorfall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Behördenrouting bei mehrgleisigem Hinweisgebervorfall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