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Rechtsvermerk für den Senat</w:t>
      </w:r>
    </w:p>
    <w:p>
      <w:r>
        <w:t>Empfohlen wird, den Listenbeschluss nicht ohne Ergänzung der Dokumentation zu fassen. Befangenheit und Drittmittelbezug müssen transparent geprüft werden.</w:t>
      </w:r>
    </w:p>
    <w:p>
      <w:r>
        <w:t>Die Grundordnungsänderung braucht eine klare Kompetenznorm, Verfahrenssicherung und Veröffentlichung.</w:t>
      </w:r>
    </w:p>
    <w:p>
      <w:pPr>
        <w:pStyle w:val="ListBullet"/>
      </w:pPr>
      <w:r>
        <w:t>Berufungsvermerk ergänzen</w:t>
      </w:r>
    </w:p>
    <w:p>
      <w:pPr>
        <w:pStyle w:val="ListBullet"/>
      </w:pPr>
      <w:r>
        <w:t>Drittmittelklauseln redlinen</w:t>
      </w:r>
    </w:p>
    <w:p>
      <w:pPr>
        <w:pStyle w:val="ListBullet"/>
      </w:pPr>
      <w:r>
        <w:t>Ministerium mit sauberer Normenkette antworten</w:t>
      </w:r>
    </w:p>
    <w:p>
      <w:pPr>
        <w:pStyle w:val="Heading1"/>
      </w:pPr>
      <w:r>
        <w:t>Aktenstand für die Senatssitzung</w:t>
      </w:r>
    </w:p>
    <w:p>
      <w:pPr>
        <w:pStyle w:val="Heading2"/>
      </w:pPr>
      <w:r>
        <w:t>Verfahrensunterlagen</w:t>
      </w:r>
    </w:p>
    <w:p>
      <w:r>
        <w:t>Für die Sitzung am 10. Juni 2026 liegen die Beschlussvorlage zur Grundordnung, der Auswahlvermerk, der Drittmittelvertragsauszug und die Ministeriumsmail vom 26. Mai vor. Es fehlen vollständige Kommissionseinladung, Einzelvoten, Gleichstellungsvermerk und genaue Offenlegung des Projektkontakts.</w:t>
      </w:r>
    </w:p>
    <w:p>
      <w:r>
        <w:t>Der Senatsvermerk führt deshalb keine abschließende Bewertung aus. Er trennt Berufungsliste, Grundordnungsänderung und Drittmittelvertrag als drei Beschlussgegenstände und bezeichnet für jeden Gegenstand Antrag, Zuständigkeit, Unterlagenstand, Beteiligung und Bekanntmachung.</w:t>
      </w:r>
    </w:p>
    <w:p>
      <w:pPr>
        <w:pStyle w:val="Heading2"/>
      </w:pPr>
      <w:r>
        <w:t>Geschäftsgang</w:t>
      </w:r>
    </w:p>
    <w:p>
      <w:r>
        <w:t>Senatsbüro Clara Noack soll bis 6. Juni um 12:00 Uhr die aktuelle Grundordnung und den letzten Bekanntmachungsnachweis beiziehen. Justiziariat und Dekanat stimmen bis 8. Juni eine Tatsachenchronologie ab. Abweichende Fassungen werden im Sitzungsprotokoll mit Versionsdatum bezeichnet.</w:t>
      </w:r>
    </w:p>
    <w:sectPr w:rsidR="00FC693F" w:rsidRPr="0006063C" w:rsidSect="00034616">
      <w:headerReference w:type="default" r:id="rId9"/>
      <w:footerReference w:type="default" r:id="rId10"/>
      <w:pgSz w:w="11906" w:h="16838"/>
      <w:pgMar w:top="1247" w:right="1134" w:bottom="1020" w:left="1191"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Ministerium mit sauberer Normenkette antworten</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Ministerium mit sauberer Normenkette antworten</w:t>
    </w:r>
  </w:p>
  <w:p>
    <w:pPr>
      <w:jc w:val="left"/>
      <w:pBdr>
        <w:bottom w:val="single" w:sz="6" w:space="2" w:color="3B3F45"/>
      </w:pBdr>
    </w:pPr>
    <w:r>
      <w:rPr>
        <w:rFonts w:ascii="Times New Roman" w:hAnsi="Times New Roman"/>
        <w:color w:val="6B6B66"/>
        <w:sz w:val="16"/>
      </w:rPr>
      <w:t>Behörde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