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Vorberg + Steinhausen Rechtsanwälte mbB – Insolvenzverwaltung ChainCortex GmbH, AG Charlottenburg 36 IN 1342/26</w:t>
      </w:r>
    </w:p>
    <w:p>
      <w:pPr>
        <w:pStyle w:val="Heading1"/>
      </w:pPr>
      <w:r>
        <w:t>Vereinbarung zur datenschutzkonformen Behandlung der Kundendaten (Anlage zum APA)</w:t>
      </w:r>
    </w:p>
    <w:p>
      <w:r>
        <w:t>Vereinbarung vom 28.06.2026 zwischen dem Insolvenzverwalter und der Voracis Ventures GmbH über zwölf B2B-Kundenbeziehungen und acht B2C-Nutzerkonten.</w:t>
      </w:r>
    </w:p>
    <w:p>
      <w:pPr>
        <w:pStyle w:val="Heading2"/>
      </w:pPr>
      <w:r>
        <w:t>1. Datenklassen und Zwecke</w:t>
      </w:r>
    </w:p>
    <w:p>
      <w:r>
        <w:t>B2B-Firmendaten, personenbezogene Ansprechpartnerdaten, B2C-Neuvertragsdaten und reine Aufbewahrungsdaten werden technisch und organisatorisch getrennt. Jede Nutzung erhält eine dokumentierte Rechtsgrundlage, Zweckbeschreibung und Löschfrist.</w:t>
      </w:r>
    </w:p>
    <w:p>
      <w:pPr>
        <w:pStyle w:val="Heading2"/>
      </w:pPr>
      <w:r>
        <w:t>2. B2B-Ansprechpartnerdaten</w:t>
      </w:r>
    </w:p>
    <w:p>
      <w:r>
        <w:t>Nur erforderliche dienstliche Kontaktdaten werden nach dokumentierter Interessenabwägung gemäß Artikel 6 Absatz 1 Buchstabe f DSGVO übertragen. Voracis erfüllt Artikel 14 DSGVO spätestens bei der ersten Kontaktaufnahme, jedenfalls innerhalb eines Monats.</w:t>
      </w:r>
    </w:p>
    <w:p>
      <w:pPr>
        <w:pStyle w:val="Heading2"/>
      </w:pPr>
      <w:r>
        <w:t>3. B2C-Neuvertragsdaten</w:t>
      </w:r>
    </w:p>
    <w:p>
      <w:r>
        <w:t>Die Schuldnerin versendet das Angebot selbst. Voracis erhält Daten zu Neuvertragszwecken nur nach positiver Kundenreaktion oder unmittelbar vom Kunden. Eine fehlende Reaktion gilt nicht als Zustimmung.</w:t>
      </w:r>
    </w:p>
    <w:p>
      <w:pPr>
        <w:pStyle w:val="Heading2"/>
      </w:pPr>
      <w:r>
        <w:t>4. Aufbewahrungsdaten</w:t>
      </w:r>
    </w:p>
    <w:p>
      <w:r>
        <w:t>Daten aus beendeten Vertragsbeziehungen werden getrennt und von Voracis nur im Auftrag nach Artikel 28 Absatz 3 DSGVO für konkret bestimmte gesetzliche Aufbewahrungszwecke gespeichert. Eigene Werbung, Profilbildung oder Vertragsansprache ist ausgeschlossen.</w:t>
      </w:r>
    </w:p>
    <w:p>
      <w:pPr>
        <w:pStyle w:val="Heading2"/>
      </w:pPr>
      <w:r>
        <w:t>5. Sicherheit, Nachweis und Löschung</w:t>
      </w:r>
    </w:p>
    <w:p>
      <w:r>
        <w:t>Die Parteien führen eine Transferliste, protokollieren Berechtigungen und Löschungen, verschlüsseln die Übergabe und begrenzen Zugriffe. Voracis meldet Fehlübertragungen unverzüglich, löscht unzulässig übermittelte Datensätze und bestätigt die Löschung in Textform.</w:t>
      </w:r>
    </w:p>
    <w:p>
      <w:r>
        <w:t>Berlin, 28.06.2026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______________________________</w:t>
            </w:r>
          </w:p>
        </w:tc>
        <w:tc>
          <w:tcPr>
            <w:tcW w:type="dxa" w:w="4153"/>
          </w:tcPr>
          <w:p>
            <w:r>
              <w:t>______________________________</w:t>
            </w:r>
          </w:p>
        </w:tc>
      </w:tr>
      <w:tr>
        <w:tc>
          <w:tcPr>
            <w:tcW w:type="dxa" w:w="4153"/>
          </w:tcPr>
          <w:p>
            <w:r>
              <w:t>Dr. Konrad Vorberg</w:t>
              <w:br/>
              <w:t>Insolvenzverwalter</w:t>
            </w:r>
          </w:p>
        </w:tc>
        <w:tc>
          <w:tcPr>
            <w:tcW w:type="dxa" w:w="4153"/>
          </w:tcPr>
          <w:p>
            <w:r>
              <w:t>Dr. Carlotta Hennings</w:t>
              <w:br/>
              <w:t>Voracis Ventures GmbH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800" w:bottom="102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Steinhausen Rechtsanwälte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2"/>
      </w:rPr>
      <w:t>STEINHAUSEN RECHTSANWÄLTE MBB</w:t>
    </w:r>
  </w:p>
  <w:p>
    <w:pPr>
      <w:jc w:val="left"/>
      <w:pBdr>
        <w:bottom w:val="single" w:sz="8" w:space="2" w:color="3B3F45"/>
      </w:pBdr>
    </w:pPr>
    <w:r>
      <w:rPr>
        <w:rFonts w:ascii="Times New Roman" w:hAnsi="Times New Roman"/>
        <w:color w:val="6B6B66"/>
        <w:sz w:val="16"/>
      </w:rPr>
      <w:t>AG Charlottenburg 36 IN 1342/26 · 36 IN 1342/26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