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Klageerwiderung</w:t>
      </w:r>
    </w:p>
    <w:p>
      <w:r>
        <w:t>An das Landgericht Chemnitz – Az. 5 O 233/26</w:t>
      </w:r>
    </w:p>
    <w:p>
      <w:r>
        <w:t>Namens und im Auftrag der Beklagten wird beantragt, die Klage abzuweisen.</w:t>
      </w:r>
    </w:p>
    <w:p>
      <w:r>
        <w:t>Die Umstellung auf Vorkasse war eine ueblicherweise praktizierte Reaktion auf die Streichung des Warenkreditversicherungslimits und begruendet fuer sich keine Kenntnis von einer Zahlungsunfaehigkeit. Das Kurzgutachten vom 18.07.2025 wurde der Beklagten nicht vorgelegt, sondern lediglich in stark verkuerzter, anonymisierter Form im Rahmen allgemeiner Sanierungsgespraeche referenziert.</w:t>
      </w:r>
    </w:p>
    <w:p>
      <w:r>
        <w:t>Saemtliche streitgegenstaendlichen Zahlungen stehen in unmittelbarem zeitlichem Zusammenhang mit der jeweiligen Warenlieferung und sind daher nach Paragraf 142 InsO privilegierte Bargeschaefte.</w:t>
      </w:r>
    </w:p>
    <w:p>
      <w:r>
        <w:t>Dr. Lennart Huesgen</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Lennart Huesgen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DR. LENNART HUESGEN</w:t>
    </w:r>
  </w:p>
  <w:p>
    <w:pPr>
      <w:jc w:val="left"/>
      <w:pBdr>
        <w:bottom w:val="single" w:sz="8" w:space="2" w:color="3B3F45"/>
      </w:pBdr>
    </w:pPr>
    <w:r>
      <w:rPr>
        <w:rFonts w:ascii="Times New Roman" w:hAnsi="Times New Roman"/>
        <w:color w:val="6B6B66"/>
        <w:sz w:val="16"/>
      </w:rPr>
      <w:t>01067 Dresden ·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