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Ludwig Stadlbauer | Insolvenzverwalter | Regensburg</w:t>
      </w:r>
    </w:p>
    <w:p>
      <w:pPr>
        <w:pStyle w:val="Heading1"/>
      </w:pPr>
      <w:r>
        <w:t>Klageschrift — LG Regensburg</w:t>
      </w:r>
    </w:p>
    <w:p>
      <w:r>
        <w:t>Landgericht Regensburg</w:t>
      </w:r>
    </w:p>
    <w:p>
      <w:r>
        <w:t>Klaeger: Dr. Ludwig Stadlbauer als Insolvenzverwalter ueber das Vermoegen der Donaupart Praezisionstechnik GmbH</w:t>
      </w:r>
    </w:p>
    <w:p>
      <w:r>
        <w:t>Beklagte: AVR Automotive Beteiligungs GmbH, Regensburg</w:t>
      </w:r>
    </w:p>
    <w:p>
      <w:pPr>
        <w:pStyle w:val="Heading2"/>
      </w:pPr>
      <w:r>
        <w:t>Antrag</w:t>
      </w:r>
    </w:p>
    <w:p>
      <w:r>
        <w:t>Die Beklagte wird verurteilt, an den Klaeger 640.000,00 EUR nebst Zinsen seit dem 12.05.2026 zu zahlen sowie den ihr sicherungsuebereigneten Maschinenpark laut Anlagenverzeichnis vom 16.06.2025 an den Klaeger herauszugeben, hilfsweise 1.180.000,00 EUR nebst Zinsen zu zahlen.</w:t>
      </w:r>
    </w:p>
    <w:p>
      <w:pPr>
        <w:pStyle w:val="Heading2"/>
      </w:pPr>
      <w:r>
        <w:t>Sachverhalt</w:t>
      </w:r>
    </w:p>
    <w:p>
      <w:r>
        <w:t>Die Beklagte haelt 92 Prozent der Geschaeftsanteile an der Schuldnerin und fungierte als Poolfuehrerin eines Zero-Balancing-Cash-Pools. Im Jahr vor dem Eigenantrag vom 16.02.2026 wurde der Sollsaldo der Schuldnerin von 1.480.000,00 EUR auf 840.000,00 EUR zurueckgefuehrt (saldiert 640.000,00 EUR). Acht Monate vor Antragstellung wurde zudem ein seit 2019 unbesichertes Gesellschafterdarlehen ueber 750.000,00 EUR durch Sicherungsuebereignung des gesamten Maschinenparks (Buchwert 1.180.000,00 EUR) nachtraeglich gesichert.</w:t>
      </w:r>
    </w:p>
    <w:p>
      <w:pPr>
        <w:pStyle w:val="Heading2"/>
      </w:pPr>
      <w:r>
        <w:t>Rechtliche Wuerdigung</w:t>
      </w:r>
    </w:p>
    <w:p>
      <w:r>
        <w:t>Die Rueckfuehrung ist nach Paragraf 135 Abs. 1 Nr. 2 InsO anfechtbar, da sie innerhalb des letzten Jahres vor dem Insolvenzantrag erfolgte; auf Kenntnis kommt es nicht an. Die Sicherungsuebereignung ist nach Paragraf 135 Abs. 1 Nr. 1 InsO anfechtbar, da sie innerhalb der Zehnjahresfrist fuer ein Gesellschafterdarlehen bestellt wurde, das im Zeitpunkt der Darlehensgewaehrung 2019 unbesichert war.</w:t>
      </w:r>
    </w:p>
    <w:p/>
    <w:p>
      <w:r>
        <w:t>Dr. Ludwig Stadlbauer, 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Ludwig Stadlbauer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RECHTSANWALT DR. LUDWIG STADLBAUER</w:t>
    </w:r>
  </w:p>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