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Peter Immel | Rechtsanwalt | Muenchen</w:t>
      </w:r>
    </w:p>
    <w:p>
      <w:pPr>
        <w:pStyle w:val="Heading1"/>
      </w:pPr>
      <w:r>
        <w:t>Klageerwiderung</w:t>
      </w:r>
    </w:p>
    <w:p>
      <w:r>
        <w:t>Landgericht Regensburg, Az. 2 O 987/26</w:t>
      </w:r>
    </w:p>
    <w:p>
      <w:r>
        <w:t>in Sachen Dr. Stadlbauer ./. AVR Automotive Beteiligungs GmbH</w:t>
      </w:r>
    </w:p>
    <w:p>
      <w:pPr>
        <w:pStyle w:val="Heading2"/>
      </w:pPr>
      <w:r>
        <w:t>Antrag</w:t>
      </w:r>
    </w:p>
    <w:p>
      <w:r>
        <w:t>Die Klage wird abgewiesen.</w:t>
      </w:r>
    </w:p>
    <w:p>
      <w:pPr>
        <w:pStyle w:val="Heading2"/>
      </w:pPr>
      <w:r>
        <w:t>Begruendung</w:t>
      </w:r>
    </w:p>
    <w:p>
      <w:r>
        <w:t>Die Cash-Pool-Salden seien keine Gesellschafterdarlehen, sondern Ausfluss einer reinen Verrechnungsbeziehung im Konzern-Liquiditaetsmanagement. Selbst bei Anwendung des Paragraf 135 InsO sei allenfalls die Nettobetrachtung massgeblich, da die Beklagte im selben Zeitraum 2.900.000,00 EUR neu zugefuehrt habe. Die Sicherungsuebereignung sei lediglich Vollzug der bereits 2019 vereinbarten Nachbesicherungsklausel und daher kein neuer Sicherungsvorgang im Sinne des Paragraf 135 Abs. 1 Nr. 1 InsO.</w:t>
      </w:r>
    </w:p>
    <w:p/>
    <w:p>
      <w:r>
        <w:t>Dr. Peter Immel, 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Az. 2 O 987/26 · Az. 2 O 987/26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