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Moenchengladbach - 3. Zivilkammer</w:t>
        <w:br/>
        <w:t>Hohenzollernstrasse 157, 41061 Moenchengladbach</w:t>
      </w:r>
    </w:p>
    <w:p>
      <w:pPr>
        <w:pStyle w:val="Heading1"/>
      </w:pPr>
      <w:r>
        <w:t>Protokoll der muendlichen Verhandlung mit Gutachtenerlaeuterung</w:t>
      </w:r>
    </w:p>
    <w:p>
      <w:r>
        <w:t>Termin vom 10.11.2026, Az. 5 O 214/26</w:t>
      </w:r>
    </w:p>
    <w:p/>
    <w:p>
      <w:r>
        <w:t>Die Sachverstaendige Dipl.-Ing. Henrike Dallmer erlaeutert: 'Der von mir vorgenommene Abschlag von 10 Prozent war ausschliesslich durch die von der Auftraggeberin mitgeteilte Notwendigkeit einer zuegigen Verwertung veranlasst. Ein Erwerber ohne Zeitdruck haette den Ertragswert von 2.050.000 Euro voraussichtlich ohne Abschlag gezahlt.'</w:t>
      </w:r>
    </w:p>
    <w:p>
      <w:r>
        <w:t>Der Zeuge Bjoern Casparius gibt an: 'Wir haben das vollstaendige Gutachten einschliesslich der Bankinformationen bereits am 20. Oktober 2025 erhalten, also vor Beurkundung.'</w:t>
      </w:r>
    </w:p>
    <w:p>
      <w:r>
        <w:t>Protokollfuehrer: Justizangestellter T. Reimann</w:t>
      </w:r>
    </w:p>
    <w:p/>
    <w:p>
      <w:r>
        <w:t>Vorsitzende Richterin am Landgericht Dr. Sabine Kortmann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Moenchengladbach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Moenchengladbach</w:t>
    </w:r>
  </w:p>
  <w:p>
    <w:pPr>
      <w:jc w:val="left"/>
      <w:pBdr>
        <w:bottom w:val="single" w:sz="6" w:space="2" w:color="3B3F45"/>
      </w:pBdr>
    </w:pPr>
    <w:r>
      <w:rPr>
        <w:rFonts w:ascii="Times New Roman" w:hAnsi="Times New Roman"/>
        <w:color w:val="6B6B66"/>
        <w:sz w:val="16"/>
      </w:rPr>
      <w:t>41061 Moenchengladbach · Az. 5 O 214/26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