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Salzwedel | Insolvenzverwalterin | Kassel</w:t>
      </w:r>
    </w:p>
    <w:p>
      <w:pPr>
        <w:pStyle w:val="Heading1"/>
      </w:pPr>
      <w:r>
        <w:t>Replik zur Klageerwiderung</w:t>
      </w:r>
    </w:p>
    <w:p>
      <w:r>
        <w:t>Landgericht Kassel, Az. 4 O 318/26</w:t>
      </w:r>
    </w:p>
    <w:p>
      <w:pPr>
        <w:pStyle w:val="Heading2"/>
      </w:pPr>
      <w:r>
        <w:t>Erwiderung</w:t>
      </w:r>
    </w:p>
    <w:p>
      <w:r>
        <w:t>Die ausdrueckliche Ersetzungsabrede in der Uebereignungs- und Tilgungsvereinbarung vom 18.12.2025 spricht gegen eine blosse Warenruecknahme und fuer eine Leistung an Erfuellungs statt. Der Bargeschaefts-Einwand greift nicht, da die Wiederbelieferungszusage nur gegen Vorkasse erfolgte und die getilgten Rechnungen aus August bis November 2025 stammen, mithin keine unmittelbare Gegenleistung vorliegt.</w:t>
      </w:r>
    </w:p>
    <w:p/>
    <w:p>
      <w:r>
        <w:t>Dr. Friederike Salzwedel, Rechtsanwaeltin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Kassel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Kassel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4 O 318/26 · Az. 4 O 318/26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