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Landgericht Kassel</w:t>
      </w:r>
    </w:p>
    <w:p>
      <w:pPr>
        <w:pStyle w:val="Heading1"/>
      </w:pPr>
      <w:r>
        <w:t>Urteil</w:t>
      </w:r>
    </w:p>
    <w:p>
      <w:r>
        <w:t>Az. 4 O 318/26</w:t>
      </w:r>
    </w:p>
    <w:p>
      <w:r>
        <w:t>verkuendet am 21.06.2027</w:t>
      </w:r>
    </w:p>
    <w:p>
      <w:pPr>
        <w:pStyle w:val="Heading2"/>
      </w:pPr>
      <w:r>
        <w:t>Tenor</w:t>
      </w:r>
    </w:p>
    <w:p>
      <w:r>
        <w:t>1. Die Beklagte wird verurteilt, an die Klaegerin 142.370,00 EUR nebst Zinsen in Hoehe von 5 Prozentpunkten ueber dem Basiszinssatz seit dem 01.05.2026 zu zahlen.</w:t>
      </w:r>
    </w:p>
    <w:p>
      <w:r>
        <w:t>2. Die Beklagte traegt die Kosten des Rechtsstreits.</w:t>
      </w:r>
    </w:p>
    <w:p>
      <w:pPr>
        <w:pStyle w:val="Heading2"/>
      </w:pPr>
      <w:r>
        <w:t>Entscheidungsgruende</w:t>
      </w:r>
    </w:p>
    <w:p>
      <w:r>
        <w:t>Die Uebereignung des Warenlagers an Erfuellungs statt sowie die Forderungsabtretungen stellen eine inkongruente Deckung gemaess Paragraf 131 Abs. 1 InsO dar. Nach dem Ergebnis der Beweisaufnahme steht die objektive Zahlungsunfaehigkeit der Schuldnerin am 18.12.2025 fest, sodass es auf eine Kenntnis der Beklagten nach Nr. 2 nicht ankommt. Der Bargeschaefts-Einwand nach Paragraf 142 InsO greift nicht, da die Tilgung Altverbindlichkeiten aus August bis November 2025 betraf und die Wiederbelieferungszusage nur gegen Vorkasse erfolgte.</w:t>
      </w:r>
    </w:p>
    <w:p/>
    <w:p>
      <w:r>
        <w:t>Der Vorsitzende Richter am Landgericht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Landgericht Kassel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Landgericht Kassel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 · Az. 4 O 318/26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