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Stellungnahme zum Sachverstaendigengutachten</w:t>
      </w:r>
    </w:p>
    <w:p>
      <w:r>
        <w:t>An das Landgericht Bielefeld – Az. 12 O 47/26</w:t>
      </w:r>
    </w:p>
    <w:p>
      <w:r>
        <w:t>Die Beklagte nimmt zum Gutachten des Sachverstaendigen Wruck vom 10.11.2026 wie folgt Stellung:</w:t>
      </w:r>
    </w:p>
    <w:p>
      <w:r>
        <w:t>Das Gutachten bestaetigt den objektiven Eintritt der Zahlungsunfaehigkeit zum 30.09.2025. Fuer die Kenntnis der Beklagten im Sinne des Paragraf 130 Absatz 2 InsO ist damit jedoch nichts gewonnen, da die Beklagte keinen Einblick in die BWA-Reihe oder die OPOS-Liste der Schuldnerin hatte und auch nicht haben musste.</w:t>
      </w:r>
    </w:p>
    <w:p>
      <w:r>
        <w:t>Die Beklagte regt an, angesichts des nunmehr feststehenden objektiven Befundes und der verbleibenden Unsicherheit zur subjektiven Kenntnis eine vergleichsweise Erledigung zu pruefen.</w:t>
      </w:r>
    </w:p>
    <w:p>
      <w:r>
        <w:t>Dr. Yannick Broscheit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Broscheit &amp; Weyland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BROSCHEIT &amp; WEYLAND RECHTSANWAELTE PARTG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42551 Velbert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