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Cammann &amp; Weyrich Rechtsanwaelte | Wiesbaden</w:t>
      </w:r>
    </w:p>
    <w:p>
      <w:pPr>
        <w:pStyle w:val="Heading1"/>
      </w:pPr>
      <w:r>
        <w:t>Duplik</w:t>
      </w:r>
    </w:p>
    <w:p>
      <w:r>
        <w:t>Landgericht Mainz, Az. 8 O 214/26</w:t>
      </w:r>
    </w:p>
    <w:p>
      <w:pPr>
        <w:pStyle w:val="Heading2"/>
      </w:pPr>
      <w:r>
        <w:t>Erwiderung auf die Replik</w:t>
      </w:r>
    </w:p>
    <w:p>
      <w:r>
        <w:t>Die Beklagte haelt an ihrer Rechtsauffassung fest und verweist ergaenzend darauf, dass die Restlinie von 120.000,00 EUR revolvierend genutzt wurde und damit ein Sanierungsbeitrag vorliege. Vorsorglich wird beantragt, ueber die Kenntnis der Beklagten von der Zahlungsunfaehigkeit Beweis durch Vernehmung der Zeugin Sandra Vietinghoff zu erheben.</w:t>
      </w:r>
    </w:p>
    <w:p/>
    <w:p>
      <w:r>
        <w:t>Dr. Bettina Cammann, 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Az. 8 O 214/26 · Az. 8 O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