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Diplom-Kaufmann Reinhold Wachtel | Oeffentlich bestellter und vereidigter Sachverstaendiger</w:t>
      </w:r>
    </w:p>
    <w:p>
      <w:pPr>
        <w:pStyle w:val="Heading1"/>
      </w:pPr>
      <w:r>
        <w:t>Sachverstaendigengutachten zur Zahlungsunfaehigkeit</w:t>
      </w:r>
    </w:p>
    <w:p>
      <w:r>
        <w:t>Landgericht Mainz, Az. 8 O 214/26</w:t>
      </w:r>
    </w:p>
    <w:p>
      <w:r>
        <w:t>Gutachten vom 20.01.2027</w:t>
      </w:r>
    </w:p>
    <w:p>
      <w:pPr>
        <w:pStyle w:val="Heading2"/>
      </w:pPr>
      <w:r>
        <w:t>Auftrag</w:t>
      </w:r>
    </w:p>
    <w:p>
      <w:r>
        <w:t>Feststellung des Zeitpunkts des Eintritts der Zahlungsunfaehigkeit der Domblick Weinkellerei-Betriebs-GmbH.</w:t>
      </w:r>
    </w:p>
    <w:p>
      <w:pPr>
        <w:pStyle w:val="Heading2"/>
      </w:pPr>
      <w:r>
        <w:t>Feststellungen</w:t>
      </w:r>
    </w:p>
    <w:p>
      <w:r>
        <w:t>Die Auswertung der BWA-Reihe 2025, des Bankspiegels und der Ruecklastschriftenliste ergibt eine Liquiditaetsluecke, die bereits im April 2025 bei 14,7 Prozent lag und bis Dezember 2025 auf 46,5 Prozent anstieg. Damit lag die Liquiditaetsluecke durchgehend ueber der 10-Prozent-Schwelle der ueblichen Zahlungsstockung. Zahlungsunfaehigkeit im Sinne des Paragraf 17 InsO ist demnach bereits im April 2025 eingetreten, nicht erst Mitte Januar 2026 wie im Eigenantrag angegeben.</w:t>
      </w:r>
    </w:p>
    <w:p>
      <w:pPr>
        <w:pStyle w:val="Heading2"/>
      </w:pPr>
      <w:r>
        <w:t>Ergebnis</w:t>
      </w:r>
    </w:p>
    <w:p>
      <w:r>
        <w:t>Der Eigenantrag datiert die Zahlungsunfaehigkeit rund elf Monate zu spaet.</w:t>
      </w:r>
    </w:p>
    <w:p/>
    <w:p>
      <w:r>
        <w:t>Diplom-Kaufmann Reinhold Wachtel</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Mainz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Mainz</w:t>
    </w:r>
  </w:p>
  <w:p>
    <w:pPr>
      <w:jc w:val="left"/>
      <w:pBdr>
        <w:bottom w:val="single" w:sz="6" w:space="2" w:color="3B3F45"/>
      </w:pBdr>
    </w:pPr>
    <w:r>
      <w:rPr>
        <w:rFonts w:ascii="Times New Roman" w:hAnsi="Times New Roman"/>
        <w:color w:val="6B6B66"/>
        <w:sz w:val="16"/>
      </w:rPr>
      <w:t>Az. 8 O 214/26 · Az. 8 O 214/26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