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Prof. Dr. Insa Lohmeyer</w:t>
        <w:br/>
        <w:t>Lehrstuhl fuer Bank- und Insolvenzrecht, Universitaet Bochum</w:t>
      </w:r>
    </w:p>
    <w:p>
      <w:pPr>
        <w:pStyle w:val="Heading1"/>
      </w:pPr>
      <w:r>
        <w:t>Schriftliches Sachverstaendigengutachten</w:t>
      </w:r>
    </w:p>
    <w:p>
      <w:r>
        <w:t>Gutachten zur Wirksamkeit der Globalzession und zur Glaeubigerbenachteiligung, erstattet im Auftrag des Landgerichts Dortmund, Az. 8 O 112/26</w:t>
      </w:r>
    </w:p>
    <w:p>
      <w:r>
        <w:t>1. Die Globalzession vom 30.06.2021 ist wirksam vereinbart, unterliegt jedoch dem Anfechtungsregime der Paragrafen 129 ff. InsO wie jede andere Rechtshandlung auch (BGH-Rechtsprechung zur revolvierenden Globalzession, live zu verifizieren).</w:t>
      </w:r>
    </w:p>
    <w:p>
      <w:r>
        <w:t>2. Die Verrechnung von Kundenzahlungseingaengen mit dem debitorischen Konto stellt trotz vorab erfolgter Abtretung eine anfechtbare Rechtshandlung dar, wenn und soweit die Abtretung selbst im Dreimonatszeitraum vor Antragstellung inkongruent oder zumindest kongruent unter Kenntnis der Zahlungsunfaehigkeit erfolgte.</w:t>
      </w:r>
    </w:p>
    <w:p>
      <w:r>
        <w:t>3. Vorliegend wurde die Globalzession bereits 2021 vereinbart, mithin ausserhalb der Anfechtungsfristen. Fuer die Frage der Glaeubigerbenachteiligung kommt es daher darauf an, ob die einzelnen Einzugsermaechtigungen im Anfechtungszeitraum wirtschaftlich der Masse zugestanden haetten.</w:t>
      </w:r>
    </w:p>
    <w:p>
      <w:r>
        <w:t>4. Ergebnis: Eine Glaeubigerbenachteiligung liegt in Hoehe der Saldorueckfuehrung von EUR 83.600,00 vor, da diese Betraege ohne die Verrechnung der Masse zur Verfuegung gestanden haetten.</w:t>
      </w:r>
    </w:p>
    <w:p>
      <w:r>
        <w:t>Bochum, 15.12.2026</w:t>
        <w:br/>
        <w:t>Prof. Dr. Insa Lohmeyer</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Dortmund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Dortmund</w:t>
    </w:r>
  </w:p>
  <w:p>
    <w:pPr>
      <w:jc w:val="left"/>
      <w:pBdr>
        <w:bottom w:val="single" w:sz="6" w:space="2" w:color="3B3F45"/>
      </w:pBdr>
    </w:pPr>
    <w:r>
      <w:rPr>
        <w:rFonts w:ascii="Times New Roman" w:hAnsi="Times New Roman"/>
        <w:color w:val="6B6B66"/>
        <w:sz w:val="16"/>
      </w:rPr>
      <w:t>erstattet im Auftrag des Landgerichts Dortmund, Az. 8 O 112/26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