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Dr. Bruns &amp; Kollegen | Rechtsanwaelte und Notare | Oldenburg</w:t>
      </w:r>
    </w:p>
    <w:p>
      <w:pPr>
        <w:pStyle w:val="Heading1"/>
      </w:pPr>
      <w:r>
        <w:t>Klageerwiderung</w:t>
      </w:r>
    </w:p>
    <w:p>
      <w:r>
        <w:t>Landgericht Oldenburg, Az. 5 O 612/26</w:t>
      </w:r>
    </w:p>
    <w:p>
      <w:r>
        <w:t>in Sachen Dr. Feddersen ./. Hollmann u.a.</w:t>
      </w:r>
    </w:p>
    <w:p>
      <w:pPr>
        <w:pStyle w:val="Heading2"/>
      </w:pPr>
      <w:r>
        <w:t>Antrag</w:t>
      </w:r>
    </w:p>
    <w:p>
      <w:r>
        <w:t>Die Klage wird abgewiesen.</w:t>
      </w:r>
    </w:p>
    <w:p>
      <w:pPr>
        <w:pStyle w:val="Heading2"/>
      </w:pPr>
      <w:r>
        <w:t>Begruendung</w:t>
      </w:r>
    </w:p>
    <w:p>
      <w:r>
        <w:t>Die Uebertragung des BMW X3 sei durch die langjaehrige, wenn auch unentgeltliche Buchhaltungsmitarbeit der Beklagten zu 1 ausgeglichen gewesen; jedenfalls falle die Geburtstagszahlung von 800,00 EUR unter das Gelegenheitsgeschenkprivileg des Paragraf 134 Abs. 2 InsO. Die Beklagte zu 2 habe von der Krise der Schuldnerin keine Kenntnis gehabt. Der Beklagte zu 3 sei nicht passivlegitimiert, da die Zahlung unmittelbar an die Dachdeckerei geflossen sei und diese eine werthaltige Gegenleistung erbracht habe; zudem habe der Beklagte zu 3 Geruest- und Transporthilfe fuer die Schuldnerin geleistet, die als Gegenleistung zu beruecksichtigen sei.</w:t>
      </w:r>
    </w:p>
    <w:p/>
    <w:p>
      <w:r>
        <w:t>Dr. Heiner Bruns, Rechtsanwalt und Notar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Oldenburg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Oldenburg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Az. 5 O 612/26 · Az. 5 O 612/26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