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Urteil</w:t>
      </w:r>
    </w:p>
    <w:p>
      <w:r>
        <w:t>Az. 5 O 612/26</w:t>
      </w:r>
    </w:p>
    <w:p>
      <w:r>
        <w:t>verkuendet am 11.05.2027</w:t>
      </w:r>
    </w:p>
    <w:p>
      <w:pPr>
        <w:pStyle w:val="Heading2"/>
      </w:pPr>
      <w:r>
        <w:t>Tenor</w:t>
      </w:r>
    </w:p>
    <w:p>
      <w:r>
        <w:t>1. Die Beklagte zu 1 wird verurteilt, an den Klaeger 27.900,00 EUR nebst Zinsen zu zahlen. Im Uebrigen (Geburtstagszahlung 800,00 EUR) wird die Klage abgewiesen.</w:t>
      </w:r>
    </w:p>
    <w:p>
      <w:r>
        <w:t>2. Die Beklagte zu 2 wird verurteilt, an den Klaeger 30.000,00 EUR nebst Zinsen zu zahlen.</w:t>
      </w:r>
    </w:p>
    <w:p>
      <w:r>
        <w:t>3. Der Beklagte zu 3 wird verurteilt, an den Klaeger 19.800,00 EUR nebst Zinsen zu zahlen.</w:t>
      </w:r>
    </w:p>
    <w:p>
      <w:r>
        <w:t>4. Die Kosten werden verhaeltnismaessig geteilt.</w:t>
      </w:r>
    </w:p>
    <w:p>
      <w:pPr>
        <w:pStyle w:val="Heading2"/>
      </w:pPr>
      <w:r>
        <w:t>Entscheidungsgruende</w:t>
      </w:r>
    </w:p>
    <w:p>
      <w:r>
        <w:t>Die Uebertragung des BMW X3 erfolgte unentgeltlich, da nach dem Ergebnis der Beweisaufnahme keine vertraglich geschuldete, wertentsprechende Gegenleistung der Beklagten zu 1 feststellbar ist; gelegentliche Ablagearbeiten reichen hierfuer nicht aus. Die Geburtstagszahlung von 800,00 EUR faellt demgegenueber unter das Gelegenheitsgeschenk-privileg des Paragraf 134 Abs. 2 InsO und ist nicht anfechtbar. Die Kenntnis-Argumentation der Beklagten zu 2 ist fuer Paragraf 134 InsO unerheblich; die fuenf innerhalb der Vierjahresfrist liegenden Ueberweisungen sind in voller Hoehe zurueckzugewaehren. Der Beklagte zu 3 ist als Empfaenger der Zuwendung passivlegitimiert, da er durch die Drittzahlung von seiner Werklohnschuld befreit wurde; eine Gegenleistung ist nicht bewiesen.</w:t>
      </w:r>
    </w:p>
    <w:p/>
    <w:p>
      <w:r>
        <w:t>Die Vorsitzende Richterin am Landgericht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