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Berkhoff Lauterbach &amp; Partner mbB</w:t>
        <w:br/>
        <w:t>Mainzer Landstrasse 46, 60325 Frankfurt am Main</w:t>
      </w:r>
    </w:p>
    <w:p>
      <w:pPr>
        <w:pStyle w:val="Heading1"/>
      </w:pPr>
      <w:r>
        <w:t>Duplik</w:t>
      </w:r>
    </w:p>
    <w:p>
      <w:r>
        <w:t>An das Landgericht Stuttgart - Az. 34 O 88/26 KfH</w:t>
      </w:r>
    </w:p>
    <w:p/>
    <w:p>
      <w:r>
        <w:t>Die Beklagte haelt an ihrer Rechtsauffassung fest und bietet nunmehr Zeugenbeweis durch den ehemaligen CFO der Holding, Herrn Ludger Sattelmaier, zur Frage der im Bestellungszeitpunkt bestehenden Sanierungsaussichten der Mutter an.</w:t>
      </w:r>
    </w:p>
    <w:p>
      <w:r>
        <w:t>Ergaenzend wird ein Sachverstaendigengutachten zur Werthaltigkeit des Rueckgriffsanspruchs zum Stichtag 15.05.2023 beantragt.</w:t>
      </w:r>
    </w:p>
    <w:p/>
    <w:p>
      <w:r>
        <w:t>Berkhoff Lauterbach &amp; Partner mbB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Berkhoff Lauterbach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BERKHOFF LAUTERBACH &amp; PARTNER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60325 Frankfurt am Main · Az. 34 O 88/26 KfH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