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Replik</w:t>
      </w:r>
    </w:p>
    <w:p>
      <w:r>
        <w:t>An das Landgericht Augsburg - Az. 5 O 611/26</w:t>
      </w:r>
    </w:p>
    <w:p/>
    <w:p>
      <w:r>
        <w:t>1. Die Vermutungswirkung des Paragraf 133 Abs. 3 Satz 2 InsO betrifft nur den Fall, dass sich die Kenntnis allein aus der Ratenzahlungsbitte ergibt. Hier liegen mit zwei fruchtlosen Pfaendungsversuchen, mehreren Ruecklastschriften und zweimaligem Sicherheitsverlangen erheblich weitergehende Umstaende vor.</w:t>
      </w:r>
    </w:p>
    <w:p>
      <w:r>
        <w:t>2. Das Sicherheitsverlangen selbst indiziert, dass die Finanzverwaltung die Zahlungsfaehigkeit der Schuldnerin bereits erheblich in Zweifel zog.</w:t>
      </w:r>
    </w:p>
    <w:p>
      <w:r>
        <w:t>3. Es wird Zeugenbeweis durch den zustaendigen Sachbearbeiter Herrn Ruckdeschel zu den internen Erwaegungen bei Bewilligung des zweiten und dritten Aufschubs angeboten.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Simon Brettschneider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RECHTSANWALT DR. SIMON BRETTSCHNEIDER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86150 Augsburg · Az. 5 O 611/26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