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Vertraulichkeitsvereinbarung und Absichtserklaerung (LOI) mit Kaufinteressent</w:t>
      </w:r>
    </w:p>
    <w:p>
      <w:r>
        <w:t>Zwischen der BioMetrik Jena GmbH (in Eigenverwaltung) und der Sensortech Holding AG, Zuerich, als Kaufinteressentin.</w:t>
      </w:r>
    </w:p>
    <w:p>
      <w:pPr>
        <w:pStyle w:val="Heading2"/>
      </w:pPr>
      <w:r>
        <w:t>Vertraulichkeitsvereinbarung (NDA)</w:t>
      </w:r>
    </w:p>
    <w:p>
      <w:r>
        <w:t>Die Parteien vereinbaren gegenseitige Vertraulichkeit hinsichtlich aller im Rahmen der Due Diligence ausgetauschten Informationen fuer die Dauer von drei Jahren.</w:t>
      </w:r>
    </w:p>
    <w:p>
      <w:pPr>
        <w:pStyle w:val="Heading2"/>
      </w:pPr>
      <w:r>
        <w:t>Letter of Intent (Eckpunkte)</w:t>
      </w:r>
    </w:p>
    <w:p>
      <w:pPr>
        <w:pStyle w:val="ListBullet"/>
      </w:pPr>
      <w:r>
        <w:t>Gegenstand: Erwerb des operativen Geschaeftsbetriebs im Rahmen eines Asset Deals (uebertragende Sanierung) oder alternativ Beteiligung im Rahmen des Insolvenzplans</w:t>
      </w:r>
    </w:p>
    <w:p>
      <w:pPr>
        <w:pStyle w:val="ListBullet"/>
      </w:pPr>
      <w:r>
        <w:t>Indikativer Kaufpreis: 2,4 bis 2,9 Mio EUR, vorbehaltlich Due Diligence</w:t>
      </w:r>
    </w:p>
    <w:p>
      <w:pPr>
        <w:pStyle w:val="ListBullet"/>
      </w:pPr>
      <w:r>
        <w:t>Exklusivitaet: 45 Tage ab Unterzeichnung</w:t>
      </w:r>
    </w:p>
    <w:p>
      <w:pPr>
        <w:pStyle w:val="ListBullet"/>
      </w:pPr>
      <w:r>
        <w:t>Bedingung: Zustimmung des Glaeubigerausschusses und des Sachwalters</w:t>
      </w:r>
    </w:p>
    <w:p>
      <w:r>
        <w:t>Diese Absichtserklaerung ist rechtlich nicht bindend mit Ausnahme der Vertraulichkeits- und Exklusivitaetsregelung.</w:t>
      </w:r>
    </w:p>
    <w:p/>
    <w:p>
      <w:r>
        <w:t>Sensortech Holding AG, Dr. Rebecca Imhof, Zuerich, 14.08.2026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