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Gewerbemietvertrag - Vollversion</w:t>
      </w:r>
    </w:p>
    <w:p>
      <w:r>
        <w:t>Zwischen der WVB Grundbesitz Charlottenburg GmbH &amp; Co. KG (Vermieterin) und der Flexhof Berlin GmbH (Mieterin) wird folgender Mietvertrag geschlossen (Auszug Vollversion, urspruenglich unterzeichnet am 14.03.2022):</w:t>
      </w:r>
    </w:p>
    <w:p>
      <w:pPr>
        <w:pStyle w:val="Heading2"/>
      </w:pPr>
      <w:r>
        <w:t>Mietobjekt</w:t>
      </w:r>
    </w:p>
    <w:p>
      <w:r>
        <w:t>Gewerbeflaechen im Erdgeschoss und 1. OG, Kantstrasse 88-90, 10627 Berlin, Nutzflaeche 890 qm, nebst 14 Tiefgaragenstellplaetzen.</w:t>
      </w:r>
    </w:p>
    <w:p>
      <w:pPr>
        <w:pStyle w:val="Heading2"/>
      </w:pPr>
      <w:r>
        <w:t>Mietzeit und Miete</w:t>
      </w:r>
    </w:p>
    <w:p>
      <w:r>
        <w:t>Mietbeginn: 01.05.2022, Festlaufzeit 7 Jahre bis 30.04.2029 mit zweimaliger Verlaengerungsoption von je 3 Jahren. Nettokaltmiete: 18.400 EUR monatlich, Betriebskostenvorauszahlung: 3.200 EUR monatlich.</w:t>
      </w:r>
    </w:p>
    <w:p>
      <w:pPr>
        <w:pStyle w:val="Heading2"/>
      </w:pPr>
      <w:r>
        <w:t>Kaution</w:t>
      </w:r>
    </w:p>
    <w:p>
      <w:r>
        <w:t>Die Mieterin hat eine Kaution in Hoehe von drei Nettokaltmieten (55.200 EUR) zu leisten, zu hinterlegen auf einem insolvenzfesten, offen ausgewiesenen Kautionskonto gemaess § 551 Abs. 3 BGB analog fuer Gewerberaum in Verbindung mit der vertraglichen Kautionsabrede in § 12.</w:t>
      </w:r>
    </w:p>
    <w:p>
      <w:pPr>
        <w:pStyle w:val="Heading2"/>
      </w:pPr>
      <w:r>
        <w:t>Untervermietung</w:t>
      </w:r>
    </w:p>
    <w:p>
      <w:r>
        <w:t>Eine Untervermietung an Dritte (Coworking-Nutzer) ist mit Zustimmung der Vermieterin gestattet; die Zustimmung gilt als generell erteilt fuer Vertragslaufzeiten der Unterkunden von maximal 24 Monaten.</w:t>
      </w:r>
    </w:p>
    <w:p>
      <w:pPr>
        <w:pStyle w:val="Heading2"/>
      </w:pPr>
      <w:r>
        <w:t>Kuendigung</w:t>
      </w:r>
    </w:p>
    <w:p>
      <w:r>
        <w:t>Ordentliche Kuendigung waehrend der Festlaufzeit ist ausgeschlossen. Bei Insolvenz der Mieterin gilt § 109 InsO.</w:t>
      </w:r>
    </w:p>
    <w:p/>
    <w:p>
      <w:r>
        <w:t>WVB Grundbesitz Charlottenburg GmbH &amp; Co. KG, unterzeichnet 14.03.2022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Flexhof Berlin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Flexhof Berlin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Az. AG Charlottenburg 36g IN 892/26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